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680" w:leader="none"/>
          <w:tab w:val="right" w:pos="9360" w:leader="none"/>
        </w:tabs>
        <w:rPr>
          <w:rFonts w:ascii="Arial" w:hAnsi="Arial"/>
          <w:b/>
          <w:caps/>
          <w:sz w:val="22"/>
          <w:szCs w:val="22"/>
        </w:rPr>
      </w:pPr>
      <w:r>
        <w:rPr>
          <w:rFonts w:ascii="Arial" w:hAnsi="Arial"/>
          <w:b/>
          <w:caps/>
          <w:sz w:val="22"/>
          <w:szCs w:val="22"/>
        </w:rPr>
      </w:r>
    </w:p>
    <w:p>
      <w:pPr>
        <w:pStyle w:val="Normal"/>
        <w:widowControl w:val="false"/>
        <w:tabs>
          <w:tab w:val="clear" w:pos="1296"/>
          <w:tab w:val="left" w:pos="567" w:leader="none"/>
          <w:tab w:val="left" w:pos="851" w:leader="none"/>
        </w:tabs>
        <w:jc w:val="center"/>
        <w:rPr>
          <w:rFonts w:ascii="Arial" w:hAnsi="Arial"/>
          <w:sz w:val="22"/>
          <w:szCs w:val="22"/>
        </w:rPr>
      </w:pPr>
      <w:r>
        <w:rPr>
          <w:rFonts w:ascii="Arial" w:hAnsi="Arial"/>
          <w:b/>
          <w:caps/>
          <w:sz w:val="22"/>
          <w:szCs w:val="22"/>
        </w:rPr>
        <w:t xml:space="preserve">Prekių pirkimo-pardavimo sutarties </w:t>
      </w:r>
      <w:r>
        <w:rPr>
          <w:rFonts w:ascii="Arial" w:hAnsi="Arial"/>
          <w:b/>
          <w:bCs/>
          <w:caps/>
          <w:sz w:val="22"/>
          <w:szCs w:val="22"/>
        </w:rPr>
        <w:t>Specialiosios</w:t>
      </w:r>
      <w:r>
        <w:rPr>
          <w:rFonts w:ascii="Arial" w:hAnsi="Arial"/>
          <w:b/>
          <w:caps/>
          <w:sz w:val="22"/>
          <w:szCs w:val="22"/>
        </w:rPr>
        <w:t xml:space="preserve"> sąlygos</w:t>
      </w:r>
    </w:p>
    <w:p>
      <w:pPr>
        <w:pStyle w:val="Normal"/>
        <w:widowControl w:val="false"/>
        <w:tabs>
          <w:tab w:val="clear" w:pos="1296"/>
          <w:tab w:val="left" w:pos="567" w:leader="none"/>
          <w:tab w:val="left" w:pos="851" w:leader="none"/>
        </w:tabs>
        <w:jc w:val="center"/>
        <w:rPr>
          <w:rFonts w:ascii="Arial" w:hAnsi="Arial"/>
          <w:b/>
          <w:caps/>
          <w:sz w:val="22"/>
          <w:szCs w:val="22"/>
        </w:rPr>
      </w:pPr>
      <w:r>
        <w:rPr>
          <w:rFonts w:ascii="Arial" w:hAnsi="Arial"/>
          <w:b/>
          <w:caps/>
          <w:sz w:val="22"/>
          <w:szCs w:val="22"/>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b/>
                <w:bCs/>
                <w:kern w:val="2"/>
                <w:sz w:val="22"/>
                <w:szCs w:val="22"/>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Arial" w:hAnsi="Arial"/>
                <w:sz w:val="22"/>
                <w:szCs w:val="22"/>
              </w:rPr>
            </w:pPr>
            <w:r>
              <w:rPr>
                <w:rFonts w:ascii="Arial" w:hAnsi="Arial"/>
                <w:kern w:val="2"/>
                <w:sz w:val="22"/>
                <w:szCs w:val="22"/>
              </w:rPr>
              <w:t>MEDIENOS GRANULĖS (KURUI)</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b/>
                <w:bCs/>
                <w:kern w:val="2"/>
                <w:sz w:val="22"/>
                <w:szCs w:val="22"/>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kern w:val="2"/>
                <w:sz w:val="22"/>
                <w:szCs w:val="22"/>
              </w:rPr>
            </w:pPr>
            <w:r>
              <w:rPr>
                <w:rFonts w:ascii="Arial" w:hAnsi="Arial"/>
                <w:kern w:val="2"/>
                <w:sz w:val="22"/>
                <w:szCs w:val="22"/>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b/>
                <w:bCs/>
                <w:kern w:val="2"/>
                <w:sz w:val="22"/>
                <w:szCs w:val="22"/>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kern w:val="2"/>
                <w:sz w:val="22"/>
                <w:szCs w:val="22"/>
              </w:rPr>
            </w:pPr>
            <w:r>
              <w:rPr>
                <w:rFonts w:ascii="Arial" w:hAnsi="Arial"/>
                <w:kern w:val="2"/>
                <w:sz w:val="22"/>
                <w:szCs w:val="22"/>
              </w:rPr>
            </w:r>
          </w:p>
        </w:tc>
      </w:tr>
    </w:tbl>
    <w:p>
      <w:pPr>
        <w:pStyle w:val="Normal"/>
        <w:jc w:val="both"/>
        <w:rPr>
          <w:rFonts w:ascii="Arial" w:hAnsi="Arial"/>
          <w:sz w:val="22"/>
          <w:szCs w:val="22"/>
        </w:rPr>
      </w:pPr>
      <w:r>
        <w:rPr>
          <w:rFonts w:ascii="Arial" w:hAnsi="Arial"/>
          <w:sz w:val="22"/>
          <w:szCs w:val="22"/>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b/>
                <w:bCs/>
                <w:kern w:val="2"/>
                <w:sz w:val="22"/>
                <w:szCs w:val="22"/>
              </w:rPr>
            </w:pPr>
            <w:r>
              <w:rPr>
                <w:rFonts w:ascii="Arial" w:hAnsi="Arial"/>
                <w:b/>
                <w:bCs/>
                <w:kern w:val="2"/>
                <w:sz w:val="22"/>
                <w:szCs w:val="22"/>
              </w:rPr>
            </w:r>
          </w:p>
          <w:p>
            <w:pPr>
              <w:pStyle w:val="Normal"/>
              <w:jc w:val="center"/>
              <w:rPr>
                <w:rFonts w:ascii="Arial" w:hAnsi="Arial"/>
                <w:b/>
                <w:bCs/>
                <w:kern w:val="2"/>
                <w:sz w:val="22"/>
                <w:szCs w:val="22"/>
              </w:rPr>
            </w:pPr>
            <w:r>
              <w:rPr>
                <w:rFonts w:ascii="Arial" w:hAnsi="Arial"/>
                <w:b/>
                <w:bCs/>
                <w:kern w:val="2"/>
                <w:sz w:val="22"/>
                <w:szCs w:val="22"/>
              </w:rPr>
            </w:r>
          </w:p>
          <w:p>
            <w:pPr>
              <w:pStyle w:val="Normal"/>
              <w:jc w:val="center"/>
              <w:rPr>
                <w:rFonts w:ascii="Arial" w:hAnsi="Arial"/>
                <w:b/>
                <w:bCs/>
                <w:kern w:val="2"/>
                <w:sz w:val="22"/>
                <w:szCs w:val="22"/>
              </w:rPr>
            </w:pPr>
            <w:r>
              <w:rPr>
                <w:rFonts w:ascii="Arial" w:hAnsi="Arial"/>
                <w:b/>
                <w:bCs/>
                <w:kern w:val="2"/>
                <w:sz w:val="22"/>
                <w:szCs w:val="22"/>
              </w:rPr>
            </w:r>
          </w:p>
          <w:p>
            <w:pPr>
              <w:pStyle w:val="Normal"/>
              <w:rPr>
                <w:rFonts w:ascii="Arial" w:hAnsi="Arial"/>
                <w:b/>
                <w:bCs/>
                <w:kern w:val="2"/>
                <w:sz w:val="22"/>
                <w:szCs w:val="22"/>
              </w:rPr>
            </w:pPr>
            <w:r>
              <w:rPr>
                <w:rFonts w:ascii="Arial" w:hAnsi="Arial"/>
                <w:b/>
                <w:bCs/>
                <w:kern w:val="2"/>
                <w:sz w:val="22"/>
                <w:szCs w:val="22"/>
              </w:rPr>
            </w:r>
          </w:p>
          <w:p>
            <w:pPr>
              <w:pStyle w:val="Normal"/>
              <w:rPr>
                <w:rFonts w:ascii="Arial" w:hAnsi="Arial"/>
                <w:sz w:val="22"/>
                <w:szCs w:val="22"/>
              </w:rPr>
            </w:pPr>
            <w:r>
              <w:rPr>
                <w:rFonts w:ascii="Arial" w:hAnsi="Arial"/>
                <w:b/>
                <w:bCs/>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Pramonės pr. 11A-9, Kaunas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AB SEB bankas, 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eastAsia="Calibri" w:ascii="Arial" w:hAnsi="Arial"/>
                <w:kern w:val="2"/>
                <w:sz w:val="22"/>
                <w:szCs w:val="22"/>
              </w:rPr>
              <w:t>info@vmu.lt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p>
            <w:pPr>
              <w:pStyle w:val="Normal"/>
              <w:rPr>
                <w:rFonts w:ascii="Arial" w:hAnsi="Arial"/>
                <w:b/>
                <w:bCs/>
                <w:kern w:val="2"/>
                <w:sz w:val="22"/>
                <w:szCs w:val="22"/>
              </w:rPr>
            </w:pPr>
            <w:r>
              <w:rPr>
                <w:rFonts w:ascii="Arial" w:hAnsi="Arial"/>
                <w:b/>
                <w:bCs/>
                <w:kern w:val="2"/>
                <w:sz w:val="22"/>
                <w:szCs w:val="22"/>
              </w:rPr>
            </w:r>
          </w:p>
          <w:p>
            <w:pPr>
              <w:pStyle w:val="Normal"/>
              <w:rPr>
                <w:rFonts w:ascii="Arial" w:hAnsi="Arial"/>
                <w:b/>
                <w:bCs/>
                <w:color w:val="FF0000"/>
                <w:kern w:val="2"/>
                <w:sz w:val="22"/>
                <w:szCs w:val="22"/>
              </w:rPr>
            </w:pPr>
            <w:r>
              <w:rPr>
                <w:rFonts w:ascii="Arial" w:hAnsi="Arial"/>
                <w:b/>
                <w:bCs/>
                <w:color w:val="FF0000"/>
                <w:kern w:val="2"/>
                <w:sz w:val="22"/>
                <w:szCs w:val="22"/>
              </w:rPr>
            </w:r>
          </w:p>
          <w:p>
            <w:pPr>
              <w:pStyle w:val="Normal"/>
              <w:rPr>
                <w:rFonts w:ascii="Arial" w:hAnsi="Arial"/>
                <w:sz w:val="22"/>
                <w:szCs w:val="22"/>
              </w:rPr>
            </w:pPr>
            <w:r>
              <w:rPr>
                <w:rFonts w:ascii="Arial" w:hAnsi="Arial"/>
                <w:b/>
                <w:bCs/>
                <w:kern w:val="2"/>
                <w:sz w:val="22"/>
                <w:szCs w:val="22"/>
              </w:rPr>
              <w:t>1.2. Tiekėjas</w:t>
            </w:r>
          </w:p>
          <w:p>
            <w:pPr>
              <w:pStyle w:val="Normal"/>
              <w:rPr>
                <w:rFonts w:ascii="Arial" w:hAnsi="Arial"/>
                <w:sz w:val="22"/>
                <w:szCs w:val="22"/>
              </w:rPr>
            </w:pPr>
            <w:r>
              <w:rPr>
                <w:rFonts w:ascii="Arial" w:hAnsi="Arial"/>
                <w:color w:val="0070C0"/>
                <w:kern w:val="2"/>
                <w:sz w:val="22"/>
                <w:szCs w:val="22"/>
              </w:rPr>
              <w:t>(jei Tiekėjas yra fizinis asmuo, skiltys atitinkamai pakoreguojamos.</w:t>
            </w:r>
          </w:p>
          <w:p>
            <w:pPr>
              <w:pStyle w:val="Normal"/>
              <w:rPr>
                <w:rFonts w:ascii="Arial" w:hAnsi="Arial"/>
                <w:sz w:val="22"/>
                <w:szCs w:val="22"/>
              </w:rPr>
            </w:pPr>
            <w:r>
              <w:rPr>
                <w:rFonts w:ascii="Arial" w:hAnsi="Arial"/>
                <w:color w:val="0070C0"/>
                <w:kern w:val="2"/>
                <w:sz w:val="22"/>
                <w:szCs w:val="22"/>
              </w:rPr>
              <w:t>Jei Tiekėjas yra tiekėjų grupė, skiltys pildomos įterpiant kiekvieno grupės nario informaciją)</w:t>
            </w:r>
          </w:p>
          <w:p>
            <w:pPr>
              <w:pStyle w:val="Normal"/>
              <w:rPr>
                <w:rFonts w:ascii="Arial" w:hAnsi="Arial"/>
                <w:color w:val="0070C0"/>
                <w:kern w:val="2"/>
                <w:sz w:val="22"/>
                <w:szCs w:val="22"/>
              </w:rPr>
            </w:pPr>
            <w:r>
              <w:rPr>
                <w:rFonts w:ascii="Arial" w:hAnsi="Arial"/>
                <w:color w:val="0070C0"/>
                <w:kern w:val="2"/>
                <w:sz w:val="22"/>
                <w:szCs w:val="22"/>
              </w:rPr>
            </w:r>
          </w:p>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kern w:val="2"/>
                <w:sz w:val="22"/>
                <w:szCs w:val="22"/>
              </w:rPr>
            </w:pPr>
            <w:r>
              <w:rPr>
                <w:rFonts w:ascii="Arial" w:hAnsi="Arial"/>
                <w:kern w:val="2"/>
                <w:sz w:val="22"/>
                <w:szCs w:val="22"/>
              </w:rPr>
            </w:r>
          </w:p>
        </w:tc>
      </w:tr>
    </w:tbl>
    <w:p>
      <w:pPr>
        <w:pStyle w:val="Normal"/>
        <w:jc w:val="both"/>
        <w:rPr>
          <w:rFonts w:ascii="Arial" w:hAnsi="Arial"/>
          <w:sz w:val="22"/>
          <w:szCs w:val="22"/>
        </w:rPr>
      </w:pPr>
      <w:r>
        <w:rPr>
          <w:rFonts w:ascii="Arial" w:hAnsi="Arial"/>
          <w:sz w:val="22"/>
          <w:szCs w:val="22"/>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60"/>
        <w:gridCol w:w="46"/>
        <w:gridCol w:w="2077"/>
        <w:gridCol w:w="4751"/>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2. ATSAKINGI ASMENYS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4472C4"/>
                <w:kern w:val="2"/>
                <w:sz w:val="22"/>
                <w:szCs w:val="22"/>
              </w:rPr>
              <w:t>(nurodyti padalinį / skyrių, pareigas, vardą, pavardę, tel., el. paštą)</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4472C4"/>
                <w:kern w:val="2"/>
                <w:sz w:val="22"/>
                <w:szCs w:val="22"/>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3. SUTARTIES DALYKAS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3.1. Sutarties dalykas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kern w:val="2"/>
                <w:sz w:val="22"/>
                <w:szCs w:val="22"/>
              </w:rPr>
              <w:t>Tiekėjas įsipareigoja Sutartyje numatytomis sąlygomis perduoti Pirkėjui Preke</w:t>
            </w:r>
            <w:r>
              <w:rPr>
                <w:rFonts w:ascii="Arial" w:hAnsi="Arial"/>
                <w:color w:val="000000"/>
                <w:kern w:val="2"/>
                <w:sz w:val="22"/>
                <w:szCs w:val="22"/>
              </w:rPr>
              <w:t>s (toliau – Prekės):</w:t>
            </w:r>
          </w:p>
          <w:p>
            <w:pPr>
              <w:pStyle w:val="Normal"/>
              <w:jc w:val="both"/>
              <w:rPr>
                <w:rFonts w:ascii="Arial" w:hAnsi="Arial"/>
                <w:sz w:val="22"/>
                <w:szCs w:val="22"/>
              </w:rPr>
            </w:pPr>
            <w:r>
              <w:rPr>
                <w:rFonts w:ascii="Arial" w:hAnsi="Arial"/>
                <w:color w:val="000000"/>
                <w:kern w:val="2"/>
                <w:sz w:val="22"/>
                <w:szCs w:val="22"/>
              </w:rPr>
              <w:t>1. P.o.d. Medienos granulės (Anykščių RP, Panevėžio RP, Radviliškio RP, Mažeikių RP, Biržų RP, Rokiškio RP, Ukmergės RP);</w:t>
            </w:r>
          </w:p>
          <w:p>
            <w:pPr>
              <w:pStyle w:val="Normal"/>
              <w:jc w:val="both"/>
              <w:rPr>
                <w:rFonts w:ascii="Arial" w:hAnsi="Arial"/>
                <w:sz w:val="22"/>
                <w:szCs w:val="22"/>
              </w:rPr>
            </w:pPr>
            <w:r>
              <w:rPr>
                <w:rFonts w:ascii="Arial" w:hAnsi="Arial"/>
                <w:color w:val="000000"/>
                <w:kern w:val="2"/>
                <w:sz w:val="22"/>
                <w:szCs w:val="22"/>
              </w:rPr>
              <w:t>2. P.o.d. Medienos granulės (Nemenčinės RP, Švenčionėlių RP, Varėnos RP, Druskininkų RP).</w:t>
            </w:r>
          </w:p>
          <w:p>
            <w:pPr>
              <w:pStyle w:val="Normal"/>
              <w:jc w:val="both"/>
              <w:rPr>
                <w:rFonts w:ascii="Arial" w:hAnsi="Arial"/>
                <w:sz w:val="22"/>
                <w:szCs w:val="22"/>
              </w:rPr>
            </w:pPr>
            <w:r>
              <w:rPr>
                <w:rFonts w:ascii="Arial" w:hAnsi="Arial"/>
                <w:color w:val="000000"/>
                <w:kern w:val="2"/>
                <w:sz w:val="22"/>
                <w:szCs w:val="22"/>
              </w:rPr>
              <w:t>Išsamus Prekių aprašymas ir kiti reikalavimai tiekiamoms Prekėms nustatyti Sutarties priede Nr. 1 „Medienos granulių pirkimo techninė specifikacija“ (toliau – Techninė specifikacija) ir Sutarties priede Nr. 2 „Pasiūlymas“.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4. PREKIŲ PRISTATYMO TERMINAI IR PREKIŲ PERDAVIMO - PRIĖMIMO TVARKA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4.1. Prekių pristatymo terminai, kai Prekės pristatomos dalimis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Tiekėjas pagal atskirą užsakymą įsipareigoja pristatyti Prekes ne vėliau kaip per 5 (penkias) darbo dienas</w:t>
            </w:r>
            <w:r>
              <w:rPr>
                <w:rFonts w:ascii="Arial" w:hAnsi="Arial"/>
                <w:color w:val="4472C4"/>
                <w:kern w:val="2"/>
                <w:sz w:val="22"/>
                <w:szCs w:val="22"/>
              </w:rPr>
              <w:t xml:space="preserve"> </w:t>
            </w:r>
            <w:r>
              <w:rPr>
                <w:rFonts w:ascii="Arial" w:hAnsi="Arial"/>
                <w:kern w:val="2"/>
                <w:sz w:val="22"/>
                <w:szCs w:val="22"/>
              </w:rPr>
              <w:t>nuo užsakymo pateikimo dienos elektroniniu pa</w:t>
            </w:r>
            <w:r>
              <w:rPr>
                <w:rFonts w:ascii="Arial" w:hAnsi="Arial"/>
                <w:color w:val="000000"/>
                <w:kern w:val="2"/>
                <w:sz w:val="22"/>
                <w:szCs w:val="22"/>
              </w:rPr>
              <w:t>štu, adresais nurodytais užsakymo metu.</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2 (dviejų) darbo dienų laikotarpiui.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Užsakymai teikiami Tiekėjo nurodytu elektroniniu paštu ir laikomi gautais nedelsiant nuo užsakymo pateikimo.</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p>
            <w:pPr>
              <w:pStyle w:val="Normal"/>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4.5. Kartu su Prekėmis pateikiami dokumentai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Prekių perdavimo-priėmimo aktas. Tiekėjui nepateikus nurodytų dokumentų, laikoma, kad Prekės neatitinka Sutartyje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5. SUTARTIES KAINA IR ATSISKAITYMO TVARKA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Fiksuoto įkainio kainodara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 xml:space="preserve">5.2. Pradinės Sutarties vertė ir Sutarties kaina, kai taikoma </w:t>
            </w:r>
            <w:r>
              <w:rPr>
                <w:rFonts w:ascii="Arial" w:hAnsi="Arial"/>
                <w:b/>
                <w:bCs/>
                <w:kern w:val="2"/>
                <w:sz w:val="22"/>
                <w:szCs w:val="22"/>
                <w:u w:val="single"/>
              </w:rPr>
              <w:t>fiksuoto įkainio</w:t>
            </w:r>
            <w:r>
              <w:rPr>
                <w:rFonts w:ascii="Arial" w:hAnsi="Arial"/>
                <w:b/>
                <w:bCs/>
                <w:kern w:val="2"/>
                <w:sz w:val="22"/>
                <w:szCs w:val="22"/>
              </w:rPr>
              <w:t xml:space="preserve"> kainodara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Pradinės Sutarties vertė yra</w:t>
            </w:r>
          </w:p>
          <w:p>
            <w:pPr>
              <w:pStyle w:val="Normal"/>
              <w:rPr>
                <w:rFonts w:ascii="Arial" w:hAnsi="Arial"/>
                <w:sz w:val="22"/>
                <w:szCs w:val="22"/>
              </w:rPr>
            </w:pPr>
            <w:r>
              <w:rPr>
                <w:rFonts w:ascii="Arial" w:hAnsi="Arial"/>
                <w:kern w:val="2"/>
                <w:sz w:val="22"/>
                <w:szCs w:val="22"/>
              </w:rPr>
              <w:t>1 P.o.d. – 67</w:t>
            </w:r>
            <w:r>
              <w:rPr>
                <w:rFonts w:ascii="Arial" w:hAnsi="Arial"/>
                <w:b/>
                <w:bCs/>
                <w:color w:val="000000"/>
                <w:kern w:val="2"/>
                <w:sz w:val="22"/>
                <w:szCs w:val="22"/>
              </w:rPr>
              <w:t> </w:t>
            </w:r>
            <w:r>
              <w:rPr>
                <w:rFonts w:ascii="Arial" w:hAnsi="Arial"/>
                <w:color w:val="000000"/>
                <w:kern w:val="2"/>
                <w:sz w:val="22"/>
                <w:szCs w:val="22"/>
              </w:rPr>
              <w:t>040</w:t>
            </w:r>
            <w:r>
              <w:rPr>
                <w:rFonts w:ascii="Arial" w:hAnsi="Arial"/>
                <w:kern w:val="2"/>
                <w:sz w:val="22"/>
                <w:szCs w:val="22"/>
              </w:rPr>
              <w:t>,78 Eur (šešiasdešimt septyni tūkstančiai keturiasdešimt eurų, 78 centai) be pridėtinės vertės mokesčio (toliau – PVM).</w:t>
            </w:r>
          </w:p>
          <w:p>
            <w:pPr>
              <w:pStyle w:val="Normal"/>
              <w:rPr>
                <w:rFonts w:ascii="Arial" w:hAnsi="Arial"/>
                <w:sz w:val="22"/>
                <w:szCs w:val="22"/>
              </w:rPr>
            </w:pPr>
            <w:r>
              <w:rPr>
                <w:rFonts w:ascii="Arial" w:hAnsi="Arial"/>
                <w:kern w:val="2"/>
                <w:sz w:val="22"/>
                <w:szCs w:val="22"/>
              </w:rPr>
              <w:t>PVM sudaro 14</w:t>
            </w:r>
            <w:r>
              <w:rPr>
                <w:rFonts w:ascii="Arial" w:hAnsi="Arial"/>
                <w:color w:val="000000"/>
                <w:kern w:val="2"/>
                <w:sz w:val="22"/>
                <w:szCs w:val="22"/>
              </w:rPr>
              <w:t> 078</w:t>
            </w:r>
            <w:r>
              <w:rPr>
                <w:rFonts w:ascii="Arial" w:hAnsi="Arial"/>
                <w:kern w:val="2"/>
                <w:sz w:val="22"/>
                <w:szCs w:val="22"/>
              </w:rPr>
              <w:t>,56 Eur (keturiolika tūkstančių septyniasdešimt aštuoni eurai, 56 centai).</w:t>
            </w:r>
          </w:p>
          <w:p>
            <w:pPr>
              <w:pStyle w:val="Normal"/>
              <w:rPr>
                <w:rFonts w:ascii="Arial" w:hAnsi="Arial"/>
                <w:sz w:val="22"/>
                <w:szCs w:val="22"/>
              </w:rPr>
            </w:pPr>
            <w:r>
              <w:rPr>
                <w:rFonts w:ascii="Arial" w:hAnsi="Arial"/>
                <w:kern w:val="2"/>
                <w:sz w:val="22"/>
                <w:szCs w:val="22"/>
              </w:rPr>
              <w:t>Sutarties kaina yra 81</w:t>
            </w:r>
            <w:r>
              <w:rPr>
                <w:rFonts w:ascii="Arial" w:hAnsi="Arial"/>
                <w:color w:val="000000"/>
                <w:kern w:val="2"/>
                <w:sz w:val="22"/>
                <w:szCs w:val="22"/>
              </w:rPr>
              <w:t> 119</w:t>
            </w:r>
            <w:r>
              <w:rPr>
                <w:rFonts w:ascii="Arial" w:hAnsi="Arial"/>
                <w:kern w:val="2"/>
                <w:sz w:val="22"/>
                <w:szCs w:val="22"/>
              </w:rPr>
              <w:t>,34 Eur (aštuoniasdešimt vienas tūkstantis šimtas devyniolika eurų, 34 centai) su PVM.</w:t>
            </w:r>
          </w:p>
          <w:p>
            <w:pPr>
              <w:pStyle w:val="Normal"/>
              <w:rPr>
                <w:rFonts w:ascii="Arial" w:hAnsi="Arial"/>
                <w:sz w:val="22"/>
                <w:szCs w:val="22"/>
              </w:rPr>
            </w:pPr>
            <w:r>
              <w:rPr>
                <w:rFonts w:ascii="Arial" w:hAnsi="Arial"/>
                <w:kern w:val="2"/>
                <w:sz w:val="22"/>
                <w:szCs w:val="22"/>
              </w:rPr>
              <w:t>2 P.o.d. – 52</w:t>
            </w:r>
            <w:r>
              <w:rPr>
                <w:rFonts w:ascii="Arial" w:hAnsi="Arial"/>
                <w:color w:val="000000"/>
                <w:kern w:val="2"/>
                <w:sz w:val="22"/>
                <w:szCs w:val="22"/>
              </w:rPr>
              <w:t> </w:t>
            </w:r>
            <w:r>
              <w:rPr>
                <w:rFonts w:ascii="Arial" w:hAnsi="Arial"/>
                <w:kern w:val="2"/>
                <w:sz w:val="22"/>
                <w:szCs w:val="22"/>
              </w:rPr>
              <w:t>959,26 Eur (penkiasdešimt du tūkstančiai devyni šimtai penkiasdešimt devyni eurai, 26 centai) be PVM.</w:t>
            </w:r>
          </w:p>
          <w:p>
            <w:pPr>
              <w:pStyle w:val="Normal"/>
              <w:rPr>
                <w:rFonts w:ascii="Arial" w:hAnsi="Arial"/>
                <w:sz w:val="22"/>
                <w:szCs w:val="22"/>
              </w:rPr>
            </w:pPr>
            <w:r>
              <w:rPr>
                <w:rFonts w:ascii="Arial" w:hAnsi="Arial"/>
                <w:kern w:val="2"/>
                <w:sz w:val="22"/>
                <w:szCs w:val="22"/>
              </w:rPr>
              <w:t>PVM sudaro 11</w:t>
            </w:r>
            <w:r>
              <w:rPr>
                <w:rFonts w:ascii="Arial" w:hAnsi="Arial"/>
                <w:color w:val="000000"/>
                <w:kern w:val="2"/>
                <w:sz w:val="22"/>
                <w:szCs w:val="22"/>
              </w:rPr>
              <w:t> 121,45</w:t>
            </w:r>
            <w:r>
              <w:rPr>
                <w:rFonts w:ascii="Arial" w:hAnsi="Arial"/>
                <w:kern w:val="2"/>
                <w:sz w:val="22"/>
                <w:szCs w:val="22"/>
              </w:rPr>
              <w:t xml:space="preserve"> Eur (vienuolika tūkstančių šimtas dvidešimt vienas euras, 45 centai).</w:t>
            </w:r>
          </w:p>
          <w:p>
            <w:pPr>
              <w:pStyle w:val="Normal"/>
              <w:rPr>
                <w:rFonts w:ascii="Arial" w:hAnsi="Arial"/>
                <w:sz w:val="22"/>
                <w:szCs w:val="22"/>
              </w:rPr>
            </w:pPr>
            <w:r>
              <w:rPr>
                <w:rFonts w:ascii="Arial" w:hAnsi="Arial"/>
                <w:kern w:val="2"/>
                <w:sz w:val="22"/>
                <w:szCs w:val="22"/>
              </w:rPr>
              <w:t>Sutarties kaina yra 64</w:t>
            </w:r>
            <w:r>
              <w:rPr>
                <w:rFonts w:ascii="Arial" w:hAnsi="Arial"/>
                <w:color w:val="000000"/>
                <w:kern w:val="2"/>
                <w:sz w:val="22"/>
                <w:szCs w:val="22"/>
              </w:rPr>
              <w:t> 080,70</w:t>
            </w:r>
            <w:r>
              <w:rPr>
                <w:rFonts w:ascii="Arial" w:hAnsi="Arial"/>
                <w:kern w:val="2"/>
                <w:sz w:val="22"/>
                <w:szCs w:val="22"/>
              </w:rPr>
              <w:t xml:space="preserve"> Eur (šešiasdešimt keturi tūkstančiai aštuoniasdešimt eurų, 70 centų) su PVM.</w:t>
            </w:r>
          </w:p>
          <w:p>
            <w:pPr>
              <w:pStyle w:val="Normal"/>
              <w:rPr>
                <w:rFonts w:ascii="Arial" w:hAnsi="Arial"/>
                <w:kern w:val="2"/>
                <w:sz w:val="22"/>
                <w:szCs w:val="22"/>
              </w:rPr>
            </w:pPr>
            <w:r>
              <w:rPr>
                <w:rFonts w:ascii="Arial" w:hAnsi="Arial"/>
                <w:kern w:val="2"/>
                <w:sz w:val="22"/>
                <w:szCs w:val="22"/>
              </w:rPr>
            </w:r>
          </w:p>
          <w:p>
            <w:pPr>
              <w:pStyle w:val="Normal"/>
              <w:rPr>
                <w:rFonts w:ascii="Arial" w:hAnsi="Arial"/>
                <w:color w:val="000000"/>
                <w:kern w:val="2"/>
                <w:sz w:val="22"/>
                <w:szCs w:val="22"/>
              </w:rPr>
            </w:pPr>
            <w:r>
              <w:rPr>
                <w:rFonts w:ascii="Arial" w:hAnsi="Arial"/>
                <w:color w:val="000000"/>
                <w:kern w:val="2"/>
                <w:sz w:val="22"/>
                <w:szCs w:val="22"/>
              </w:rPr>
              <w:t>Šioje Sutartyje Pradinės Sutarties vertė yra lygi </w:t>
            </w:r>
            <w:r>
              <w:rPr>
                <w:rFonts w:ascii="Arial" w:hAnsi="Arial"/>
                <w:b/>
                <w:bCs/>
                <w:color w:val="000000"/>
                <w:kern w:val="2"/>
                <w:sz w:val="22"/>
                <w:szCs w:val="22"/>
              </w:rPr>
              <w:t>maksimaliai pirkimui skirtai lėšų sumai be PVM</w:t>
            </w:r>
            <w:r>
              <w:rPr>
                <w:rFonts w:ascii="Arial" w:hAnsi="Arial"/>
                <w:color w:val="000000"/>
                <w:kern w:val="2"/>
                <w:sz w:val="22"/>
                <w:szCs w:val="22"/>
              </w:rPr>
              <w:t> pirkimo dokumentuose ir Sutartyje nurodytų Prekių įsigijimui priede Nr. 2 ,,Pasiūlymas“ nurodytais įkainiais be PVM.</w:t>
            </w:r>
            <w:r>
              <w:rPr>
                <w:rFonts w:ascii="Arial" w:hAnsi="Arial"/>
                <w:kern w:val="2"/>
                <w:sz w:val="22"/>
                <w:szCs w:val="22"/>
              </w:rPr>
              <w:t xml:space="preserve"> </w:t>
            </w:r>
            <w:r>
              <w:rPr>
                <w:rFonts w:ascii="Arial" w:hAnsi="Arial"/>
                <w:color w:val="000000"/>
                <w:kern w:val="2"/>
                <w:sz w:val="22"/>
                <w:szCs w:val="22"/>
              </w:rPr>
              <w:t>Pirkėjas perka Prekes pagal poreikį Sutartyje arba jos priede Nr. 2 ,,Pasiūlymas“ nurodytais įkainiais, neviršijant pradinės Sutarties vertės.</w:t>
            </w:r>
          </w:p>
          <w:p>
            <w:pPr>
              <w:pStyle w:val="Normal"/>
              <w:rPr>
                <w:rFonts w:ascii="Arial" w:hAnsi="Arial"/>
                <w:sz w:val="22"/>
                <w:szCs w:val="22"/>
              </w:rPr>
            </w:pPr>
            <w:r>
              <w:rPr>
                <w:rFonts w:ascii="Arial" w:hAnsi="Arial"/>
                <w:sz w:val="22"/>
                <w:szCs w:val="22"/>
              </w:rPr>
              <w:t>Pirkėjas neįsipareigoja išpirkti maksimalaus Prekių kiekio ar bet kokios jo dalies.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 xml:space="preserve">5.3. Sutarties kainos / įkainių perskaičiavimas taikant </w:t>
            </w:r>
            <w:r>
              <w:rPr>
                <w:rFonts w:ascii="Arial" w:hAnsi="Arial"/>
                <w:b/>
                <w:bCs/>
                <w:kern w:val="2"/>
                <w:sz w:val="22"/>
                <w:szCs w:val="22"/>
                <w:u w:val="single"/>
              </w:rPr>
              <w:t>peržiūros</w:t>
            </w:r>
            <w:r>
              <w:rPr>
                <w:rFonts w:ascii="Arial" w:hAnsi="Arial"/>
                <w:b/>
                <w:bCs/>
                <w:kern w:val="2"/>
                <w:sz w:val="22"/>
                <w:szCs w:val="22"/>
              </w:rPr>
              <w:t xml:space="preserve"> taisykles</w:t>
            </w:r>
          </w:p>
          <w:p>
            <w:pPr>
              <w:pStyle w:val="Normal"/>
              <w:rPr>
                <w:rFonts w:ascii="Arial" w:hAnsi="Arial"/>
                <w:b/>
                <w:bCs/>
                <w:kern w:val="2"/>
                <w:sz w:val="22"/>
                <w:szCs w:val="22"/>
              </w:rPr>
            </w:pPr>
            <w:r>
              <w:rPr>
                <w:rFonts w:ascii="Arial" w:hAnsi="Arial"/>
                <w:b/>
                <w:bCs/>
                <w:kern w:val="2"/>
                <w:sz w:val="22"/>
                <w:szCs w:val="22"/>
              </w:rPr>
            </w:r>
          </w:p>
          <w:p>
            <w:pPr>
              <w:pStyle w:val="Normal"/>
              <w:rPr>
                <w:rFonts w:ascii="Arial" w:hAnsi="Arial"/>
                <w:kern w:val="2"/>
                <w:sz w:val="22"/>
                <w:szCs w:val="22"/>
              </w:rPr>
            </w:pPr>
            <w:r>
              <w:rPr>
                <w:rFonts w:ascii="Arial" w:hAnsi="Arial"/>
                <w:kern w:val="2"/>
                <w:sz w:val="22"/>
                <w:szCs w:val="22"/>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Suta</w:t>
            </w:r>
            <w:r>
              <w:rPr>
                <w:rFonts w:ascii="Arial" w:hAnsi="Arial"/>
                <w:color w:val="000000"/>
                <w:kern w:val="2"/>
                <w:sz w:val="22"/>
                <w:szCs w:val="22"/>
              </w:rPr>
              <w:t>rties įkainiai bus perskaičiuojami:</w:t>
            </w:r>
          </w:p>
          <w:p>
            <w:pPr>
              <w:pStyle w:val="Normal"/>
              <w:rPr>
                <w:rFonts w:ascii="Arial" w:hAnsi="Arial"/>
                <w:sz w:val="22"/>
                <w:szCs w:val="22"/>
              </w:rPr>
            </w:pPr>
            <w:r>
              <w:rPr>
                <w:rFonts w:ascii="Arial" w:hAnsi="Arial"/>
                <w:color w:val="000000"/>
                <w:kern w:val="2"/>
                <w:sz w:val="22"/>
                <w:szCs w:val="22"/>
              </w:rPr>
              <w:t>5.3.1. dėl PVM tarifo pasikeitimo;</w:t>
            </w:r>
          </w:p>
          <w:p>
            <w:pPr>
              <w:pStyle w:val="Normal"/>
              <w:rPr>
                <w:rFonts w:ascii="Arial" w:hAnsi="Arial"/>
                <w:sz w:val="22"/>
                <w:szCs w:val="22"/>
              </w:rPr>
            </w:pPr>
            <w:r>
              <w:rPr>
                <w:rFonts w:ascii="Arial" w:hAnsi="Arial"/>
                <w:color w:val="000000"/>
                <w:kern w:val="2"/>
                <w:sz w:val="22"/>
                <w:szCs w:val="22"/>
              </w:rPr>
              <w:t>5.3.3. dėl kainų lygio pokyčio.</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Jeigu Sutarties vykdymo metu pasikeičia PVM mokėjimą reglamentuojantys teisės aktai, darantys tiesioginę įtaką Tiekėjo tiekiamų Prekių Sutartyje nurodytai kainai, Sutarties kaina perskaičiuojami nekeičiant Prekių kainos be PVM.</w:t>
            </w:r>
          </w:p>
          <w:p>
            <w:pPr>
              <w:pStyle w:val="Normal"/>
              <w:rPr>
                <w:rFonts w:ascii="Arial" w:hAnsi="Arial"/>
                <w:kern w:val="2"/>
                <w:sz w:val="22"/>
                <w:szCs w:val="22"/>
              </w:rPr>
            </w:pPr>
            <w:r>
              <w:rPr>
                <w:rFonts w:ascii="Arial" w:hAnsi="Arial"/>
                <w:kern w:val="2"/>
                <w:sz w:val="22"/>
                <w:szCs w:val="22"/>
              </w:rPr>
            </w:r>
          </w:p>
          <w:p>
            <w:pPr>
              <w:pStyle w:val="Normal"/>
              <w:rPr>
                <w:rFonts w:ascii="Arial" w:hAnsi="Arial"/>
                <w:sz w:val="22"/>
                <w:szCs w:val="22"/>
              </w:rPr>
            </w:pPr>
            <w:r>
              <w:rPr>
                <w:rFonts w:ascii="Arial" w:hAnsi="Arial"/>
                <w:kern w:val="2"/>
                <w:sz w:val="22"/>
                <w:szCs w:val="2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5.3.2.</w:t>
            </w:r>
            <w:r>
              <w:rPr>
                <w:rFonts w:ascii="Arial" w:hAnsi="Arial"/>
                <w:kern w:val="2"/>
                <w:sz w:val="22"/>
                <w:szCs w:val="22"/>
              </w:rPr>
              <w:t> </w:t>
            </w:r>
            <w:r>
              <w:rPr>
                <w:rFonts w:ascii="Arial" w:hAnsi="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5.3.3. Sutarties kainos / įkainių peržiūra dėl kainų lygio pokyčio</w:t>
            </w:r>
          </w:p>
          <w:p>
            <w:pPr>
              <w:pStyle w:val="Normal"/>
              <w:rPr>
                <w:rFonts w:ascii="Arial" w:hAnsi="Arial"/>
                <w:color w:val="4472C4"/>
                <w:kern w:val="2"/>
                <w:sz w:val="22"/>
                <w:szCs w:val="22"/>
              </w:rPr>
            </w:pPr>
            <w:r>
              <w:rPr>
                <w:rFonts w:ascii="Arial" w:hAnsi="Arial"/>
                <w:color w:val="4472C4"/>
                <w:kern w:val="2"/>
                <w:sz w:val="22"/>
                <w:szCs w:val="22"/>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shd w:fill="FFFFFF" w:val="clear"/>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arba yra mažesnis nei -10 procentų (naudojamas duomenų šaltinis – http://www.stat.gov.lt). Sutarties įkainių peržiūra atliekama ne rečiau kaip kas 6 (šeši) mėnesiai.</w:t>
            </w:r>
          </w:p>
          <w:p>
            <w:pPr>
              <w:pStyle w:val="Normal"/>
              <w:rPr>
                <w:rFonts w:ascii="Arial" w:hAnsi="Arial"/>
                <w:sz w:val="22"/>
                <w:szCs w:val="22"/>
              </w:rPr>
            </w:pPr>
            <w:r>
              <w:rPr>
                <w:rFonts w:ascii="Arial" w:hAnsi="Arial"/>
                <w:color w:val="000000"/>
                <w:kern w:val="2"/>
                <w:sz w:val="22"/>
                <w:szCs w:val="22"/>
                <w:shd w:fill="FFFFFF" w:val="clear"/>
              </w:rPr>
              <w:t>5.3.3.2. Sutarties įkainiai peržiūrimi tik tai Sutarties daliai, kuri nėra išpirkta, t. y., Prekėms, kurios nėra priimtos ir apmokėtos. Vėlesnė Sutarties įkainių peržiūra negali apimti laikotarpio, už kurį jau buvo atliktas peržiūra.</w:t>
            </w:r>
          </w:p>
          <w:p>
            <w:pPr>
              <w:pStyle w:val="Normal"/>
              <w:rPr>
                <w:rFonts w:ascii="Arial" w:hAnsi="Arial"/>
                <w:sz w:val="22"/>
                <w:szCs w:val="22"/>
              </w:rPr>
            </w:pPr>
            <w:r>
              <w:rPr>
                <w:rFonts w:ascii="Arial" w:hAnsi="Arial"/>
                <w:color w:val="000000"/>
                <w:kern w:val="2"/>
                <w:sz w:val="22"/>
                <w:szCs w:val="22"/>
                <w:shd w:fill="FFFFFF" w:val="clear"/>
              </w:rPr>
              <w:t>5.3.3.3. Jeigu Prekių tiekimas vėluoja dėl Tiekėjo kaltės, uždelstų pristatyti Prekių įkainiai nėra perskaičiuojami dėl kainų lygio kilimo (gali būti mažinami, tačiau negali būti didinami).</w:t>
            </w:r>
          </w:p>
          <w:p>
            <w:pPr>
              <w:pStyle w:val="Normal"/>
              <w:rPr/>
            </w:pPr>
            <w:r>
              <w:rPr>
                <w:rFonts w:ascii="Arial" w:hAnsi="Arial"/>
                <w:color w:val="000000"/>
                <w:kern w:val="2"/>
                <w:sz w:val="22"/>
                <w:szCs w:val="22"/>
                <w:shd w:fill="FFFFFF" w:val="clear"/>
              </w:rPr>
              <w:t>5.3.3.4. Atlikdamos Sutarties įkainių peržiūrą Šalys vadovaujasi Valstybės duomenų agentūros viešai Oficialiosios statistikos portale paskelbtais Rodiklių duomenų bazės duomenimis (</w:t>
            </w:r>
            <w:hyperlink r:id="rId2">
              <w:r>
                <w:rPr>
                  <w:rStyle w:val="Hyperlink"/>
                  <w:rFonts w:ascii="Arial" w:hAnsi="Arial"/>
                  <w:color w:val="000000"/>
                  <w:kern w:val="2"/>
                  <w:sz w:val="22"/>
                  <w:szCs w:val="22"/>
                  <w:shd w:fill="FFFFFF" w:val="clear"/>
                </w:rPr>
                <w:t>https://osp.stat.gov.lt/</w:t>
              </w:r>
            </w:hyperlink>
            <w:r>
              <w:rPr>
                <w:rFonts w:ascii="Arial" w:hAnsi="Arial"/>
                <w:color w:val="000000"/>
                <w:kern w:val="2"/>
                <w:sz w:val="22"/>
                <w:szCs w:val="22"/>
                <w:shd w:fill="FFFFFF" w:val="clear"/>
              </w:rPr>
              <w:t>).</w:t>
            </w:r>
          </w:p>
          <w:p>
            <w:pPr>
              <w:pStyle w:val="Normal"/>
              <w:rPr>
                <w:rFonts w:ascii="Arial" w:hAnsi="Arial"/>
                <w:sz w:val="22"/>
                <w:szCs w:val="22"/>
              </w:rPr>
            </w:pPr>
            <w:r>
              <w:rPr>
                <w:rFonts w:ascii="Arial" w:hAnsi="Arial"/>
                <w:color w:val="000000"/>
                <w:kern w:val="2"/>
                <w:sz w:val="22"/>
                <w:szCs w:val="22"/>
                <w:shd w:fill="FFFFFF" w:val="clear"/>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pPr>
              <w:pStyle w:val="Normal"/>
              <w:rPr>
                <w:rFonts w:ascii="Arial" w:hAnsi="Arial"/>
                <w:sz w:val="22"/>
                <w:szCs w:val="22"/>
              </w:rPr>
            </w:pPr>
            <w:r>
              <w:rPr>
                <w:rFonts w:ascii="Arial" w:hAnsi="Arial"/>
                <w:color w:val="000000"/>
                <w:kern w:val="2"/>
                <w:sz w:val="22"/>
                <w:szCs w:val="22"/>
                <w:shd w:fill="FFFFFF" w:val="clear"/>
              </w:rPr>
              <w:t>5.3.3.6. Nauja Sutarties įkainiai apskaičiuojami pagal žemiau pateiktą formulę:</w:t>
            </w:r>
          </w:p>
          <w:p>
            <w:pPr>
              <w:pStyle w:val="Normal"/>
              <w:jc w:val="both"/>
              <w:textAlignment w:val="baseline"/>
              <w:rPr>
                <w:rFonts w:ascii="Arial" w:hAnsi="Arial"/>
                <w:sz w:val="22"/>
                <w:szCs w:val="22"/>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rFonts w:ascii="Arial" w:hAnsi="Arial"/>
                <w:color w:val="000000"/>
                <w:kern w:val="2"/>
                <w:sz w:val="22"/>
                <w:szCs w:val="22"/>
              </w:rPr>
              <w:t>, kur a – įkainis (Eur be PVM)) (jei peržiūra jau buvo atlikta, tai po paskutinio perskaičiavimo)</w:t>
            </w:r>
          </w:p>
          <w:p>
            <w:pPr>
              <w:pStyle w:val="Normal"/>
              <w:jc w:val="both"/>
              <w:textAlignment w:val="baseline"/>
              <w:rPr>
                <w:rFonts w:ascii="Arial" w:hAnsi="Arial"/>
                <w:sz w:val="22"/>
                <w:szCs w:val="22"/>
              </w:rPr>
            </w:pPr>
            <w:r>
              <w:rPr>
                <w:rFonts w:ascii="Arial" w:hAnsi="Arial"/>
                <w:color w:val="000000"/>
                <w:kern w:val="2"/>
                <w:sz w:val="22"/>
                <w:szCs w:val="22"/>
              </w:rPr>
              <w:t>a</w:t>
            </w:r>
            <w:r>
              <w:rPr>
                <w:rFonts w:ascii="Arial" w:hAnsi="Arial"/>
                <w:color w:val="000000"/>
                <w:kern w:val="2"/>
                <w:sz w:val="22"/>
                <w:szCs w:val="22"/>
                <w:vertAlign w:val="subscript"/>
              </w:rPr>
              <w:t>1</w:t>
            </w:r>
            <w:r>
              <w:rPr>
                <w:rFonts w:ascii="Arial" w:hAnsi="Arial"/>
                <w:color w:val="000000"/>
                <w:kern w:val="2"/>
                <w:sz w:val="22"/>
                <w:szCs w:val="22"/>
              </w:rPr>
              <w:t xml:space="preserve"> – perskaičiuota (pakeista) įkainis (Eur be PVM)</w:t>
            </w:r>
          </w:p>
          <w:p>
            <w:pPr>
              <w:pStyle w:val="Normal"/>
              <w:jc w:val="both"/>
              <w:textAlignment w:val="baseline"/>
              <w:rPr>
                <w:rFonts w:ascii="Arial" w:hAnsi="Arial"/>
                <w:sz w:val="22"/>
                <w:szCs w:val="22"/>
              </w:rPr>
            </w:pPr>
            <w:r>
              <w:rPr>
                <w:rFonts w:ascii="Arial" w:hAnsi="Arial"/>
                <w:color w:val="000000"/>
                <w:kern w:val="2"/>
                <w:sz w:val="22"/>
                <w:szCs w:val="22"/>
              </w:rPr>
              <w:t>k – pagal vartotojų kainų indeksą (4549 Kitas kietasis kuras) apskaičiuotas Vartojimo prekių ir paslaugų kainų pokytis (padidėjimas arba sumažėjimas) (%). „k“ reikšmė skaičiuojama pagal formulę:</w:t>
            </w:r>
          </w:p>
          <w:p>
            <w:pPr>
              <w:pStyle w:val="Normal"/>
              <w:jc w:val="both"/>
              <w:textAlignment w:val="baseline"/>
              <w:rPr>
                <w:rFonts w:ascii="Arial" w:hAnsi="Arial"/>
                <w:sz w:val="22"/>
                <w:szCs w:val="22"/>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rFonts w:ascii="Arial" w:hAnsi="Arial"/>
                <w:color w:val="000000"/>
                <w:kern w:val="2"/>
                <w:sz w:val="22"/>
                <w:szCs w:val="22"/>
              </w:rPr>
              <w:t>, (proc.) kur</w:t>
            </w:r>
          </w:p>
          <w:p>
            <w:pPr>
              <w:pStyle w:val="Normal"/>
              <w:jc w:val="both"/>
              <w:textAlignment w:val="baseline"/>
              <w:rPr>
                <w:rFonts w:ascii="Arial" w:hAnsi="Arial"/>
                <w:sz w:val="22"/>
                <w:szCs w:val="22"/>
              </w:rPr>
            </w:pPr>
            <w:r>
              <w:rPr>
                <w:rFonts w:ascii="Arial" w:hAnsi="Arial"/>
                <w:color w:val="000000"/>
                <w:kern w:val="2"/>
                <w:sz w:val="22"/>
                <w:szCs w:val="22"/>
              </w:rPr>
              <w:t>Ind</w:t>
            </w:r>
            <w:r>
              <w:rPr>
                <w:rFonts w:ascii="Arial" w:hAnsi="Arial"/>
                <w:color w:val="000000"/>
                <w:kern w:val="2"/>
                <w:sz w:val="22"/>
                <w:szCs w:val="22"/>
                <w:vertAlign w:val="subscript"/>
              </w:rPr>
              <w:t>naujausias</w:t>
            </w:r>
            <w:r>
              <w:rPr>
                <w:rFonts w:ascii="Arial" w:hAnsi="Arial"/>
                <w:color w:val="000000"/>
                <w:kern w:val="2"/>
                <w:sz w:val="22"/>
                <w:szCs w:val="22"/>
              </w:rPr>
              <w:t xml:space="preserve"> – kreipimosi dėl įkainių peržiūros išsiuntimo kitai šaliai dieną paskelbtas naujausias vartojimo prekių ir paslaugų indeksas (4549 Kitas kietasis kuras).</w:t>
            </w:r>
          </w:p>
          <w:p>
            <w:pPr>
              <w:pStyle w:val="Normal"/>
              <w:rPr>
                <w:rFonts w:ascii="Arial" w:hAnsi="Arial"/>
                <w:sz w:val="22"/>
                <w:szCs w:val="22"/>
              </w:rPr>
            </w:pPr>
            <w:r>
              <w:rPr>
                <w:rFonts w:ascii="Arial" w:hAnsi="Arial"/>
                <w:color w:val="000000"/>
                <w:kern w:val="2"/>
                <w:sz w:val="22"/>
                <w:szCs w:val="22"/>
              </w:rPr>
              <w:t>Ind</w:t>
            </w:r>
            <w:r>
              <w:rPr>
                <w:rFonts w:ascii="Arial" w:hAnsi="Arial"/>
                <w:color w:val="000000"/>
                <w:kern w:val="2"/>
                <w:sz w:val="22"/>
                <w:szCs w:val="22"/>
                <w:vertAlign w:val="subscript"/>
              </w:rPr>
              <w:t>pradžia</w:t>
            </w:r>
            <w:r>
              <w:rPr>
                <w:rFonts w:ascii="Arial" w:hAnsi="Arial"/>
                <w:color w:val="000000"/>
                <w:kern w:val="2"/>
                <w:sz w:val="22"/>
                <w:szCs w:val="22"/>
              </w:rPr>
              <w:t xml:space="preserve"> – laikotarpio pradžios datos (mėnesio) vartojimo prekių ir paslaugų indeksas (4549 Kitas kietasis kuras). Pirm</w:t>
            </w:r>
            <w:r>
              <w:rPr>
                <w:rFonts w:ascii="Arial" w:hAnsi="Arial"/>
                <w:kern w:val="2"/>
                <w:sz w:val="22"/>
                <w:szCs w:val="22"/>
              </w:rPr>
              <w:t>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rPr>
                <w:rFonts w:ascii="Arial" w:hAnsi="Arial"/>
                <w:sz w:val="22"/>
                <w:szCs w:val="22"/>
              </w:rPr>
            </w:pPr>
            <w:r>
              <w:rPr>
                <w:rFonts w:ascii="Arial" w:hAnsi="Arial"/>
                <w:color w:val="000000"/>
                <w:kern w:val="2"/>
                <w:sz w:val="22"/>
                <w:szCs w:val="22"/>
                <w:shd w:fill="FFFFFF" w:val="clear"/>
              </w:rPr>
              <w:t>5.3.3.7. Skaičiavimams indeksų reikšmės imamos keturių skaitmenų po kablelio tikslumu. Apskaičiuotas pokytis (k) tolimesniems skaičiavimams naudojamas suapvalinus iki vieno skaitmens po kablelio, o apskaičiuotas įkainis „a</w:t>
            </w:r>
            <w:r>
              <w:rPr>
                <w:rFonts w:ascii="Arial" w:hAnsi="Arial"/>
                <w:color w:val="000000"/>
                <w:kern w:val="2"/>
                <w:sz w:val="22"/>
                <w:szCs w:val="22"/>
                <w:shd w:fill="FFFFFF" w:val="clear"/>
                <w:vertAlign w:val="subscript"/>
              </w:rPr>
              <w:t>1</w:t>
            </w:r>
            <w:r>
              <w:rPr>
                <w:rFonts w:ascii="Arial" w:hAnsi="Arial"/>
                <w:color w:val="000000"/>
                <w:kern w:val="2"/>
                <w:sz w:val="22"/>
                <w:szCs w:val="22"/>
                <w:shd w:fill="FFFFFF" w:val="clear"/>
              </w:rPr>
              <w:t>“ suapvalinamas iki dviejų skaitmenų po kablelio.</w:t>
            </w:r>
          </w:p>
          <w:p>
            <w:pPr>
              <w:pStyle w:val="Normal"/>
              <w:rPr>
                <w:rFonts w:ascii="Arial" w:hAnsi="Arial"/>
                <w:sz w:val="22"/>
                <w:szCs w:val="22"/>
              </w:rPr>
            </w:pPr>
            <w:r>
              <w:rPr>
                <w:rFonts w:ascii="Arial" w:hAnsi="Arial"/>
                <w:color w:val="000000"/>
                <w:kern w:val="2"/>
                <w:sz w:val="22"/>
                <w:szCs w:val="22"/>
                <w:shd w:fill="FFFFFF" w:val="clear"/>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pPr>
              <w:pStyle w:val="Normal"/>
              <w:rPr>
                <w:rFonts w:ascii="Arial" w:hAnsi="Arial"/>
                <w:sz w:val="22"/>
                <w:szCs w:val="22"/>
              </w:rPr>
            </w:pPr>
            <w:r>
              <w:rPr>
                <w:rFonts w:ascii="Arial" w:hAnsi="Arial"/>
                <w:color w:val="000000"/>
                <w:kern w:val="2"/>
                <w:sz w:val="22"/>
                <w:szCs w:val="22"/>
                <w:shd w:fill="FFFFFF" w:val="clear"/>
              </w:rPr>
              <w:t>5.3.3.9. Susitarimas turi būti sudarytas per 14 (keturiolika) kalendorinių dienų nuo Šalies pateikto tinkamo prašymo perskaičiuoti Sutarties įkainius gavimo dienos.</w:t>
            </w:r>
          </w:p>
          <w:p>
            <w:pPr>
              <w:pStyle w:val="Normal"/>
              <w:rPr>
                <w:rFonts w:ascii="Arial" w:hAnsi="Arial"/>
                <w:sz w:val="22"/>
                <w:szCs w:val="22"/>
              </w:rPr>
            </w:pPr>
            <w:r>
              <w:rPr>
                <w:rFonts w:ascii="Arial" w:hAnsi="Arial"/>
                <w:color w:val="000000"/>
                <w:kern w:val="2"/>
                <w:sz w:val="22"/>
                <w:szCs w:val="22"/>
                <w:shd w:fill="FFFFFF" w:val="clear"/>
              </w:rPr>
              <w:t>5.3.3.10. Susitarimu Šalys neturi teisės keisti procedūroje nurodytos tvarkos ar kitų Sutarties nuostatų, išskyrus, jei keitimas atliekamas pagal VPĮ nuostatas.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p>
            <w:pPr>
              <w:pStyle w:val="Normal"/>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 xml:space="preserve">5.4. Sutarties kainos / įkainių apskaičiavimas taikant </w:t>
            </w:r>
            <w:r>
              <w:rPr>
                <w:rFonts w:ascii="Arial" w:hAnsi="Arial"/>
                <w:b/>
                <w:bCs/>
                <w:kern w:val="2"/>
                <w:sz w:val="22"/>
                <w:szCs w:val="22"/>
                <w:u w:val="single"/>
              </w:rPr>
              <w:t>kiekio (apimties)</w:t>
            </w:r>
            <w:r>
              <w:rPr>
                <w:rFonts w:ascii="Arial" w:hAnsi="Arial"/>
                <w:b/>
                <w:bCs/>
                <w:kern w:val="2"/>
                <w:sz w:val="22"/>
                <w:szCs w:val="22"/>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p>
            <w:pPr>
              <w:pStyle w:val="Normal"/>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shd w:fill="FFFFFF" w:val="clear"/>
              </w:rPr>
              <w:t>Pirkėjas atsiskaito su Tiekėju ne vėliau kaip per 30 (trisdešimt) kalendorinių dienų nuo Sąskaitos gavimo dienos.</w:t>
            </w:r>
          </w:p>
          <w:p>
            <w:pPr>
              <w:pStyle w:val="Normal"/>
              <w:rPr>
                <w:rFonts w:ascii="Arial" w:hAnsi="Arial"/>
                <w:sz w:val="22"/>
                <w:szCs w:val="22"/>
              </w:rPr>
            </w:pPr>
            <w:r>
              <w:rPr>
                <w:rFonts w:ascii="Arial" w:hAnsi="Arial"/>
                <w:color w:val="000000"/>
                <w:kern w:val="2"/>
                <w:sz w:val="22"/>
                <w:szCs w:val="22"/>
                <w:shd w:fill="FFFFFF" w:val="clear"/>
              </w:rPr>
              <w:t>Apmokėjimo sąlygos: įvykdžius užsakymą, mokama už konkretų kiekį / apimtį pagal nustatytą įkainį.</w:t>
            </w:r>
          </w:p>
          <w:p>
            <w:pPr>
              <w:pStyle w:val="Normal"/>
              <w:rPr>
                <w:rFonts w:ascii="Arial" w:hAnsi="Arial"/>
                <w:sz w:val="22"/>
                <w:szCs w:val="22"/>
              </w:rPr>
            </w:pPr>
            <w:r>
              <w:rPr>
                <w:rFonts w:ascii="Arial" w:hAnsi="Arial"/>
                <w:color w:val="000000"/>
                <w:kern w:val="2"/>
                <w:sz w:val="22"/>
                <w:szCs w:val="22"/>
                <w:shd w:fill="FFFFFF" w:val="clear"/>
              </w:rPr>
              <w:t>Pateikiamoje sąskaitoje būtina nurodyti Pirkėjo regioninio padalinio (RP) tikslų pavadinimą ir šios Sutarties numerį, kurį suteikia Pirkėjas.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6. PREKIŲ KOKYBĖ IR GARANTINIAI ĮSIPAREIGOJIMAI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7. SUTARTIES VYKDYMUI PASITELKIAMI SUBTIEKĖJAI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Sutarties vykdymui subtiekėjai ir (ar) specialistai nepasitelkiami.</w:t>
            </w:r>
          </w:p>
          <w:p>
            <w:pPr>
              <w:pStyle w:val="Normal"/>
              <w:rPr>
                <w:rFonts w:ascii="Arial" w:hAnsi="Arial"/>
                <w:kern w:val="2"/>
                <w:sz w:val="22"/>
                <w:szCs w:val="22"/>
              </w:rPr>
            </w:pPr>
            <w:r>
              <w:rPr>
                <w:rFonts w:ascii="Arial" w:hAnsi="Arial"/>
                <w:kern w:val="2"/>
                <w:sz w:val="22"/>
                <w:szCs w:val="22"/>
              </w:rPr>
            </w:r>
          </w:p>
          <w:p>
            <w:pPr>
              <w:pStyle w:val="Normal"/>
              <w:rPr>
                <w:rFonts w:ascii="Arial" w:hAnsi="Arial"/>
                <w:sz w:val="22"/>
                <w:szCs w:val="22"/>
              </w:rPr>
            </w:pPr>
            <w:r>
              <w:rPr>
                <w:rFonts w:ascii="Arial" w:hAnsi="Arial"/>
                <w:color w:val="FF0000"/>
                <w:kern w:val="2"/>
                <w:sz w:val="22"/>
                <w:szCs w:val="22"/>
              </w:rPr>
              <w:t>arba</w:t>
            </w:r>
          </w:p>
          <w:p>
            <w:pPr>
              <w:pStyle w:val="Normal"/>
              <w:rPr>
                <w:rFonts w:ascii="Arial" w:hAnsi="Arial"/>
                <w:kern w:val="2"/>
                <w:sz w:val="22"/>
                <w:szCs w:val="22"/>
              </w:rPr>
            </w:pPr>
            <w:r>
              <w:rPr>
                <w:rFonts w:ascii="Arial" w:hAnsi="Arial"/>
                <w:kern w:val="2"/>
                <w:sz w:val="22"/>
                <w:szCs w:val="22"/>
              </w:rPr>
            </w:r>
          </w:p>
          <w:p>
            <w:pPr>
              <w:pStyle w:val="Normal"/>
              <w:rPr>
                <w:rFonts w:ascii="Arial" w:hAnsi="Arial"/>
                <w:sz w:val="22"/>
                <w:szCs w:val="22"/>
              </w:rPr>
            </w:pPr>
            <w:r>
              <w:rPr>
                <w:rFonts w:ascii="Arial" w:hAnsi="Arial"/>
                <w:kern w:val="2"/>
                <w:sz w:val="22"/>
                <w:szCs w:val="22"/>
              </w:rPr>
              <w:t xml:space="preserve">Sutarties vykdymui pasitelkiami subtiekėjai ir (ar) specialistai yra nurodyti Sutarties priede Nr. </w:t>
            </w:r>
            <w:r>
              <w:rPr>
                <w:rFonts w:ascii="Arial" w:hAnsi="Arial"/>
                <w:kern w:val="2"/>
                <w:sz w:val="22"/>
                <w:szCs w:val="22"/>
                <w:highlight w:val="yellow"/>
              </w:rPr>
              <w:t>[...]</w:t>
            </w:r>
            <w:r>
              <w:rPr>
                <w:rFonts w:ascii="Arial" w:hAnsi="Arial"/>
                <w:kern w:val="2"/>
                <w:sz w:val="22"/>
                <w:szCs w:val="22"/>
              </w:rPr>
              <w:t xml:space="preserve"> „Sutarties vykdymui pasitelkiami subtiekėjai ir (ar) specialistai“.</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8. PRIEVOLIŲ PAGAL SUTARTĮ ĮVYKDYMO UŽTIKRINIMAS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sz w:val="22"/>
                <w:szCs w:val="22"/>
              </w:rPr>
              <w:t>Prievolių pagal Sutartį įvykdymas užtikrinamas:</w:t>
            </w:r>
          </w:p>
          <w:p>
            <w:pPr>
              <w:pStyle w:val="Normal"/>
              <w:rPr>
                <w:rFonts w:ascii="Arial" w:hAnsi="Arial"/>
                <w:sz w:val="22"/>
                <w:szCs w:val="22"/>
              </w:rPr>
            </w:pPr>
            <w:r>
              <w:rPr>
                <w:rFonts w:ascii="Arial" w:hAnsi="Arial"/>
                <w:sz w:val="22"/>
                <w:szCs w:val="22"/>
              </w:rPr>
              <w:t>Netesybomis (delspinigiais, bauda);</w:t>
            </w:r>
          </w:p>
          <w:p>
            <w:pPr>
              <w:pStyle w:val="Normal"/>
              <w:rPr>
                <w:rFonts w:ascii="Arial" w:hAnsi="Arial"/>
                <w:sz w:val="22"/>
                <w:szCs w:val="22"/>
              </w:rPr>
            </w:pPr>
            <w:r>
              <w:rPr>
                <w:rFonts w:ascii="Arial" w:hAnsi="Arial"/>
                <w:sz w:val="22"/>
                <w:szCs w:val="22"/>
              </w:rPr>
              <w:t>Pirmo pareikalavimo banko garantija;</w:t>
            </w:r>
          </w:p>
          <w:p>
            <w:pPr>
              <w:pStyle w:val="Normal"/>
              <w:rPr>
                <w:rFonts w:ascii="Arial" w:hAnsi="Arial"/>
                <w:sz w:val="22"/>
                <w:szCs w:val="22"/>
              </w:rPr>
            </w:pPr>
            <w:r>
              <w:rPr>
                <w:rFonts w:ascii="Arial" w:hAnsi="Arial"/>
                <w:sz w:val="22"/>
                <w:szCs w:val="22"/>
              </w:rPr>
              <w:t>Draudimo bendrovės laidavimo draudimu;</w:t>
            </w:r>
          </w:p>
          <w:p>
            <w:pPr>
              <w:pStyle w:val="Normal"/>
              <w:rPr>
                <w:rFonts w:ascii="Arial" w:hAnsi="Arial"/>
                <w:sz w:val="22"/>
                <w:szCs w:val="22"/>
              </w:rPr>
            </w:pPr>
            <w:r>
              <w:rPr>
                <w:rFonts w:ascii="Arial" w:hAnsi="Arial"/>
                <w:sz w:val="22"/>
                <w:szCs w:val="22"/>
              </w:rPr>
              <w:t>Į Pirkėjo sąskaitą, nurodytą Sutarties Specialiosiose sąlygose, padarytu mokėjimo pavedimu.</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Sutarties įvykdymo užtikrinimo galiojimo terminas turi būti ne trumpesnis nei Sutarties galiojimo terminas.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8.3. Sutarties įvykdymo užtikrinimo pateikimas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shd w:fill="FFFFFF" w:val="clear"/>
              </w:rPr>
              <w:t>Tiekėjas ne vėliau kaip per 10 (dešimt) darbo dienų nuo Sutarties pasirašymo dienos turi pateikti Pirkėjui 1 (vieno) proc. nuo atitinkamos P.o.d. Pradinės Sutarties vertės be PVM, nurodytos Specialiųjų sąlygų 5.2 punkte pirmo pareikalavimo banko garantiją, draudimo bendrovės laidavimo draudimo raštą atitinkančius Bendrųjų sąlygų 10 skyriaus reikalavimus arba padaryti mokėjimo pavedimą į Pirkėjo sąskaitą, nurodytą Sutarties Specialiosiose sąlygose. Esant poreikiui, gavus Tiekėjo prašymą, šis terminas gali būti pratęstas Šalių suderintam terminui.</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9. ŠALIŲ ATSAKOMYBĖ</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pradinės Sutarties vertės įskaitant PVM, jei jis Sutarčiai taikomas.  </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maksimalią delspinigių skaičiavimo ribą nustatant 20 (dvidešimt) procentų, skaičiuojamų nuo Pradinės Sutarties vertės be PVM, jei jis Sutarčiai taikomas.</w:t>
            </w:r>
          </w:p>
          <w:p>
            <w:pPr>
              <w:pStyle w:val="Normal"/>
              <w:rPr>
                <w:rFonts w:ascii="Arial" w:hAnsi="Arial"/>
                <w:sz w:val="22"/>
                <w:szCs w:val="22"/>
              </w:rPr>
            </w:pPr>
            <w:r>
              <w:rPr>
                <w:rFonts w:ascii="Arial" w:hAnsi="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pPr>
              <w:pStyle w:val="Normal"/>
              <w:rPr>
                <w:rFonts w:ascii="Arial" w:hAnsi="Arial"/>
                <w:sz w:val="22"/>
                <w:szCs w:val="22"/>
              </w:rPr>
            </w:pPr>
            <w:r>
              <w:rPr>
                <w:rFonts w:ascii="Arial" w:hAnsi="Arial"/>
                <w:color w:val="000000"/>
                <w:kern w:val="2"/>
                <w:sz w:val="22"/>
                <w:szCs w:val="22"/>
              </w:rPr>
              <w:t>9.2.3. Tiekėjas privalo sumokėti Pirkėjui netesybas per 30 (trisdešimt) kalendorinių dienų nuo Pirkėjo pareikalavimo, jeigu netesybų suma nėra išskaitoma iš Tiekėjui mokėtinos sumos.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 xml:space="preserve">9.3. Tiekėjui / Pirkėjui taikoma bauda nutraukus Sutartį dėl esminio Sutarties pažeidimo </w:t>
            </w:r>
            <w:r>
              <w:rPr>
                <w:rFonts w:ascii="Arial" w:hAnsi="Arial"/>
                <w:b/>
                <w:kern w:val="2"/>
                <w:sz w:val="22"/>
                <w:szCs w:val="22"/>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9.3.1. Nutraukus Sutartį dėl esminio Sutarties pažeidimo, nustatyto Sutarties Specialiosiose sąlygose, mokama 2 (dviejų) procentų dydžio bauda nuo Pradinės Sutarties vertės be PVM, nurodytos Specialiųjų sąlygų 5.2 punkte.</w:t>
            </w:r>
          </w:p>
          <w:p>
            <w:pPr>
              <w:pStyle w:val="Normal"/>
              <w:rPr>
                <w:rFonts w:ascii="Arial" w:hAnsi="Arial"/>
                <w:sz w:val="22"/>
                <w:szCs w:val="22"/>
              </w:rPr>
            </w:pPr>
            <w:r>
              <w:rPr>
                <w:rFonts w:ascii="Arial" w:hAnsi="Arial"/>
                <w:color w:val="000000"/>
                <w:kern w:val="2"/>
                <w:sz w:val="22"/>
                <w:szCs w:val="22"/>
              </w:rPr>
              <w:t>9.3.2. </w:t>
            </w:r>
            <w:r>
              <w:rPr>
                <w:rFonts w:ascii="Arial" w:hAnsi="Arial"/>
                <w:color w:val="000000"/>
                <w:sz w:val="22"/>
                <w:szCs w:val="22"/>
              </w:rPr>
              <w:t xml:space="preserve">Nepagrįstai nutraukus Sutarties vykdymą ne Sutartyje nustatyta tvarka, mokama </w:t>
            </w:r>
            <w:r>
              <w:rPr>
                <w:rFonts w:ascii="Arial" w:hAnsi="Arial"/>
                <w:color w:val="000000"/>
                <w:kern w:val="2"/>
                <w:sz w:val="22"/>
                <w:szCs w:val="22"/>
              </w:rPr>
              <w:t>2 (dviejų) procentų dydžio bauda nuo Pradinės Sutarties vertės, nurodytos Specialiųjų sąlygų 5.2 punkte.</w:t>
            </w:r>
          </w:p>
          <w:p>
            <w:pPr>
              <w:pStyle w:val="Normal"/>
              <w:rPr>
                <w:rFonts w:ascii="Arial" w:hAnsi="Arial"/>
                <w:color w:val="000000"/>
                <w:sz w:val="22"/>
                <w:szCs w:val="22"/>
              </w:rPr>
            </w:pPr>
            <w:r>
              <w:rPr>
                <w:rFonts w:ascii="Arial" w:hAnsi="Arial"/>
                <w:color w:val="000000"/>
                <w:sz w:val="22"/>
                <w:szCs w:val="2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Netaikoma</w:t>
            </w:r>
          </w:p>
          <w:p>
            <w:pPr>
              <w:pStyle w:val="Normal"/>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color w:val="000000"/>
                <w:kern w:val="2"/>
                <w:sz w:val="22"/>
                <w:szCs w:val="22"/>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1000,00 Eur (vienas tūkstantis eurų 00 ct)</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p>
            <w:pPr>
              <w:pStyle w:val="Normal"/>
              <w:rPr>
                <w:rFonts w:ascii="Arial" w:hAnsi="Arial"/>
                <w:color w:val="4472C4"/>
                <w:kern w:val="2"/>
                <w:sz w:val="22"/>
                <w:szCs w:val="22"/>
              </w:rPr>
            </w:pPr>
            <w:r>
              <w:rPr>
                <w:rFonts w:ascii="Arial" w:hAnsi="Arial"/>
                <w:color w:val="4472C4"/>
                <w:kern w:val="2"/>
                <w:sz w:val="22"/>
                <w:szCs w:val="2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rPr>
                <w:rFonts w:ascii="Arial" w:hAnsi="Arial"/>
                <w:sz w:val="22"/>
                <w:szCs w:val="22"/>
              </w:rPr>
            </w:pPr>
            <w:r>
              <w:rPr>
                <w:rFonts w:ascii="Arial" w:hAnsi="Arial"/>
                <w:color w:val="000000"/>
                <w:kern w:val="2"/>
                <w:sz w:val="22"/>
                <w:szCs w:val="22"/>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kern w:val="2"/>
                <w:sz w:val="22"/>
                <w:szCs w:val="22"/>
              </w:rPr>
              <w:t>10. ESMINĖS SUTARTIES SĄLYGOS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sz w:val="22"/>
                <w:szCs w:val="22"/>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Prekių pristatymo terminas (nurodytas Sutarties Specialiųjų sąlygų 4.1. p.) ir Prekių kokybė (nurodytas Sutarties Specialiųjų sąlygų 3.1. p.)</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10.2. Dideli arba nuolatiniai esminės Sutarties sąlygos vykdymo trūkumai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11. SUTARTIES GALIOJIMAS IR KEITIMAS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Ši Sutartis laikoma sudaryta, kai (pirma) ją pasirašo abi Šalys, ir (antra) pateikiamas Sutarties įvykdymo užtikrinimas.</w:t>
            </w:r>
          </w:p>
          <w:p>
            <w:pPr>
              <w:pStyle w:val="Normal"/>
              <w:rPr>
                <w:rFonts w:ascii="Arial" w:hAnsi="Arial"/>
                <w:color w:val="000000"/>
                <w:sz w:val="22"/>
                <w:szCs w:val="22"/>
              </w:rPr>
            </w:pPr>
            <w:r>
              <w:rPr>
                <w:rFonts w:ascii="Arial" w:hAnsi="Arial"/>
                <w:color w:val="000000"/>
                <w:sz w:val="22"/>
                <w:szCs w:val="22"/>
              </w:rPr>
            </w:r>
          </w:p>
          <w:p>
            <w:pPr>
              <w:pStyle w:val="Normal"/>
              <w:rPr>
                <w:rFonts w:ascii="Arial" w:hAnsi="Arial"/>
                <w:sz w:val="22"/>
                <w:szCs w:val="22"/>
              </w:rPr>
            </w:pPr>
            <w:r>
              <w:rPr>
                <w:rFonts w:ascii="Arial" w:hAnsi="Arial"/>
                <w:color w:val="000000"/>
                <w:kern w:val="2"/>
                <w:sz w:val="22"/>
                <w:szCs w:val="22"/>
              </w:rPr>
              <w:t>Sutartis galioja iki visiško prievolių įvykdymo (kol bus išnaudota Pradinės Sutarties vertė, bet jos terminas negali būti ilgesnis kaip 12 (dvylika) mėnesių (įskaitant apmokėjimo už Prekes terminus).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olor w:val="000000"/>
                <w:sz w:val="22"/>
                <w:szCs w:val="22"/>
              </w:rPr>
            </w:pPr>
            <w:r>
              <w:rPr>
                <w:rFonts w:ascii="Arial" w:hAnsi="Arial"/>
                <w:color w:val="000000"/>
                <w:kern w:val="2"/>
                <w:sz w:val="22"/>
                <w:szCs w:val="22"/>
              </w:rPr>
              <w:t>Šalių abipusiu rašytiniu Susitarimu Sutartis tomis pačiomis sąlygomis nedidinant Sutarties kainos gali būti pratęsta 1 (vieną) kartą 12 (dvylikai) mėnesių, jeigu yra išlikęs poreikis ir esant šiai aplinkybei:</w:t>
            </w:r>
            <w:r>
              <w:rPr>
                <w:rFonts w:eastAsia="Arial" w:ascii="Arial" w:hAnsi="Arial"/>
                <w:color w:val="000000"/>
                <w:sz w:val="22"/>
                <w:szCs w:val="22"/>
              </w:rPr>
              <w:t>Pirkėjas neišpirko Prekių pagal Sutartį ir nėra išnaudota Sutarties kaina</w:t>
            </w:r>
            <w:r>
              <w:rPr>
                <w:rFonts w:eastAsia="Arial" w:ascii="Arial" w:hAnsi="Arial"/>
                <w:color w:val="000000"/>
                <w:kern w:val="2"/>
                <w:sz w:val="22"/>
                <w:szCs w:val="22"/>
              </w:rPr>
              <w:t>.</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12. SUTARTIES NUTRAUKIMAS</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12.1. Sutarties nutraukimo pagrindai</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Sutartis gali būti nutraukiama rašytiniu Šalių susitarimu arba vienašališkai, Bendrosiose sąlygose nustatyta tvarka.</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12.2. Esminiai Sutarties pažeidimai</w:t>
            </w:r>
          </w:p>
          <w:p>
            <w:pPr>
              <w:pStyle w:val="Normal"/>
              <w:rPr>
                <w:rFonts w:ascii="Arial" w:hAnsi="Arial"/>
                <w:b/>
                <w:bCs/>
                <w:kern w:val="2"/>
                <w:sz w:val="22"/>
                <w:szCs w:val="22"/>
              </w:rPr>
            </w:pPr>
            <w:r>
              <w:rPr>
                <w:rFonts w:ascii="Arial" w:hAnsi="Arial"/>
                <w:b/>
                <w:bCs/>
                <w:kern w:val="2"/>
                <w:sz w:val="22"/>
                <w:szCs w:val="22"/>
              </w:rPr>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rPr>
              <w:t>12.2.1. jeigu Tiekėjas nevykdo prisiimtų įsipareigojimų už Sutartyje nustatytą Sutarties įkainius;</w:t>
            </w:r>
          </w:p>
          <w:p>
            <w:pPr>
              <w:pStyle w:val="Normal"/>
              <w:rPr>
                <w:rFonts w:ascii="Arial" w:hAnsi="Arial"/>
                <w:sz w:val="22"/>
                <w:szCs w:val="22"/>
              </w:rPr>
            </w:pPr>
            <w:r>
              <w:rPr>
                <w:rFonts w:ascii="Arial" w:hAnsi="Arial"/>
                <w:color w:val="000000"/>
                <w:kern w:val="2"/>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pPr>
              <w:pStyle w:val="Normal"/>
              <w:rPr>
                <w:rFonts w:ascii="Arial" w:hAnsi="Arial"/>
                <w:sz w:val="22"/>
                <w:szCs w:val="22"/>
              </w:rPr>
            </w:pPr>
            <w:r>
              <w:rPr>
                <w:rFonts w:ascii="Arial" w:hAnsi="Arial"/>
                <w:color w:val="000000"/>
                <w:kern w:val="2"/>
                <w:sz w:val="22"/>
                <w:szCs w:val="22"/>
              </w:rPr>
              <w:t>12.2.3. </w:t>
            </w:r>
            <w:r>
              <w:rPr>
                <w:rFonts w:eastAsia="Arial" w:ascii="Arial" w:hAnsi="Arial"/>
                <w:color w:val="000000"/>
                <w:kern w:val="2"/>
                <w:sz w:val="22"/>
                <w:szCs w:val="22"/>
              </w:rPr>
              <w:t>jeigu Tiekėjas nesilaiko Sutartyje nustatytų Prekių tiekimo terminų 2 (du) kartus iš eilės;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sz w:val="22"/>
                <w:szCs w:val="22"/>
              </w:rPr>
            </w:pPr>
            <w:r>
              <w:rPr>
                <w:rFonts w:eastAsia="Arial" w:ascii="Arial" w:hAnsi="Arial"/>
                <w:color w:val="000000"/>
                <w:kern w:val="2"/>
                <w:sz w:val="22"/>
                <w:szCs w:val="22"/>
              </w:rPr>
              <w:t>12.2.4. jeigu Tiekėjas pažeidžia Prekių pristatymo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sz w:val="22"/>
                <w:szCs w:val="22"/>
              </w:rPr>
            </w:pPr>
            <w:r>
              <w:rPr>
                <w:rFonts w:eastAsia="Arial" w:ascii="Arial" w:hAnsi="Arial"/>
                <w:color w:val="000000"/>
                <w:kern w:val="2"/>
                <w:sz w:val="22"/>
                <w:szCs w:val="22"/>
              </w:rPr>
              <w:t>12.2.5.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sz w:val="22"/>
                <w:szCs w:val="22"/>
              </w:rPr>
            </w:pPr>
            <w:r>
              <w:rPr>
                <w:rFonts w:eastAsia="Arial" w:ascii="Arial" w:hAnsi="Arial"/>
                <w:color w:val="000000"/>
                <w:kern w:val="2"/>
                <w:sz w:val="22"/>
                <w:szCs w:val="22"/>
              </w:rPr>
              <w:t>12.2.6. Tiekėjas daugiau kaip 2 (du) kartus pristato Prekes, kurios neatitinka Sutartyje ir (ar) Įstatymuose nustatytų reikalavimų Prekėms;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olor w:val="000000"/>
                <w:kern w:val="2"/>
                <w:sz w:val="22"/>
                <w:szCs w:val="22"/>
              </w:rPr>
            </w:pPr>
            <w:r>
              <w:rPr>
                <w:rFonts w:eastAsia="Arial" w:ascii="Arial" w:hAnsi="Arial"/>
                <w:color w:val="000000"/>
                <w:kern w:val="2"/>
                <w:sz w:val="22"/>
                <w:szCs w:val="22"/>
              </w:rPr>
              <w:t>12.2.7. Tiekėjas pažeidžia šios Sutarties nuostatas, reglamentuojančias konkurenciją, intelektinės nuosavybės ar konfidencialios informacijos valdymą.</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sz w:val="22"/>
                <w:szCs w:val="22"/>
              </w:rPr>
            </w:pPr>
            <w:r>
              <w:rPr>
                <w:rFonts w:ascii="Arial" w:hAnsi="Arial"/>
                <w:sz w:val="22"/>
                <w:szCs w:val="22"/>
              </w:rPr>
              <w:t>12.2.8. Tiekėjas 2 (du) kartus pažeidžia esminę Sutarties sąlygą.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13. APLINKOSAUGINIAI IR SOCIALINIAI KRITERIJAI</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13.1. Aplinkosauginių kriterijų nustatymo teisinis pagrindas</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shd w:fill="FFFFFF" w:val="clear"/>
              </w:rPr>
              <w:t xml:space="preserve">Aplinkosauginiai kriterijai Prekėms nustatomi vadovaujantis </w:t>
            </w:r>
            <w:r>
              <w:rPr>
                <w:rFonts w:ascii="Arial" w:hAnsi="Arial"/>
                <w:color w:val="000000"/>
                <w:kern w:val="2"/>
                <w:sz w:val="22"/>
                <w:szCs w:val="22"/>
              </w:rPr>
              <w:t>Aplinkos apsaugos kriterijų taikymo, vykdant žaliuosius pirkimus, tvarkos aprašo, patvirtinto Lietuvos Respublikos aplinkos ministro 2011 m. birželio 28 d. įsakymu Nr. D1-508</w:t>
            </w:r>
            <w:r>
              <w:rPr>
                <w:rFonts w:ascii="Arial" w:hAnsi="Arial"/>
                <w:color w:val="000000"/>
                <w:kern w:val="2"/>
                <w:sz w:val="22"/>
                <w:szCs w:val="22"/>
                <w:shd w:fill="FFFFFF" w:val="clear"/>
              </w:rPr>
              <w:t> „Dėl Aplinkos apsaugos kriterijų taikymo, vykdant žaliuosius pirkimus, tvarkos aprašo patvirtinimo“ (toliau – Tvarkos aprašas) 4.4.4.1 ir 4.4.4.3 papunkčiais:</w:t>
            </w:r>
          </w:p>
          <w:p>
            <w:pPr>
              <w:pStyle w:val="Normal"/>
              <w:rPr>
                <w:rFonts w:ascii="Arial" w:hAnsi="Arial"/>
                <w:sz w:val="22"/>
                <w:szCs w:val="22"/>
              </w:rPr>
            </w:pPr>
            <w:r>
              <w:rPr>
                <w:rFonts w:ascii="Arial" w:hAnsi="Arial"/>
                <w:sz w:val="22"/>
                <w:szCs w:val="22"/>
              </w:rPr>
              <w:t>- remiantis Tvarkos aprašo 4.4.4.1 papunkčiu, Prekių pakuotės turi būti laikytinos perdirbamosiomis pakuotėmis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pPr>
              <w:pStyle w:val="Normal"/>
              <w:rPr>
                <w:rFonts w:ascii="Arial" w:hAnsi="Arial"/>
                <w:sz w:val="22"/>
                <w:szCs w:val="22"/>
              </w:rPr>
            </w:pPr>
            <w:r>
              <w:rPr>
                <w:rFonts w:ascii="Arial" w:hAnsi="Arial"/>
                <w:sz w:val="22"/>
                <w:szCs w:val="22"/>
              </w:rPr>
              <w:t>- remiantis Tvarkos aprašo 4.4.4.3 papunkčiu, Prekėms pagaminti naudojama mažiau ar visai nenaudojama pavojingųjų cheminių medžiagų, neteršiama aplinka ir nekeliamas pavojus sveikatai. Medienos granulės turi būti šviesios spalvos, be lakų, klijų ir kitų cheminių priemaišų, pagamintos iš mišrių medienos pjuvenų (lapuočių ir spygliuočių).</w:t>
            </w:r>
          </w:p>
          <w:p>
            <w:pPr>
              <w:pStyle w:val="Normal"/>
              <w:rPr>
                <w:rFonts w:ascii="Arial" w:hAnsi="Arial"/>
                <w:sz w:val="22"/>
                <w:szCs w:val="22"/>
              </w:rPr>
            </w:pPr>
            <w:r>
              <w:rPr>
                <w:rFonts w:ascii="Arial" w:hAnsi="Arial"/>
                <w:color w:val="000000"/>
                <w:kern w:val="2"/>
                <w:sz w:val="22"/>
                <w:szCs w:val="22"/>
                <w:shd w:fill="FFFFFF" w:val="clear"/>
              </w:rPr>
              <w:t>Nustačius, kad Tiekėjas šiame papunktyje nustatyto kriterijaus (-jų) nesilaiko, Tiekėjui taikoma Specialiųjų sąlygų 9.5 punkte nurodyto dydžio bauda.</w:t>
            </w:r>
          </w:p>
          <w:p>
            <w:pPr>
              <w:pStyle w:val="Normal"/>
              <w:rPr>
                <w:rFonts w:ascii="Arial" w:hAnsi="Arial"/>
                <w:b/>
                <w:bCs/>
                <w:kern w:val="2"/>
                <w:sz w:val="22"/>
                <w:szCs w:val="22"/>
              </w:rPr>
            </w:pPr>
            <w:r>
              <w:rPr>
                <w:rFonts w:ascii="Arial" w:hAnsi="Arial"/>
                <w:b/>
                <w:bCs/>
                <w:kern w:val="2"/>
                <w:sz w:val="22"/>
                <w:szCs w:val="22"/>
              </w:rPr>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13.2.  Su perkamomis Prekėmis susiję socialiniai kriterijai</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color w:val="000000"/>
                <w:kern w:val="2"/>
                <w:sz w:val="22"/>
                <w:szCs w:val="22"/>
                <w:shd w:fill="FFFFFF" w:val="clear"/>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14. BENDRŲJŲ SĄLYGŲ PAKEITIMAI IR PAPILDYMAI</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14.1.</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sz w:val="22"/>
                <w:szCs w:val="22"/>
              </w:rPr>
              <w:t>Šalys susitaria papildyti Sutarties Bendrųjų sąlygų 3.1. punktą nurodytais punktais, tačiau kitų punktų numeracijos nekeisti:</w:t>
            </w:r>
          </w:p>
          <w:p>
            <w:pPr>
              <w:pStyle w:val="Normal"/>
              <w:jc w:val="both"/>
              <w:rPr/>
            </w:pPr>
            <w:r>
              <w:rPr>
                <w:rFonts w:ascii="Arial" w:hAnsi="Arial"/>
                <w:sz w:val="22"/>
                <w:szCs w:val="22"/>
              </w:rPr>
              <w:t>„</w:t>
            </w:r>
            <w:r>
              <w:rPr>
                <w:rFonts w:ascii="Arial" w:hAnsi="Arial"/>
                <w:sz w:val="22"/>
                <w:szCs w:val="22"/>
              </w:rPr>
              <w:t xml:space="preserve">3.1.4.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3">
              <w:r>
                <w:rPr>
                  <w:rStyle w:val="Hyperlink"/>
                  <w:rFonts w:ascii="Arial" w:hAnsi="Arial"/>
                  <w:b/>
                  <w:bCs/>
                  <w:sz w:val="22"/>
                  <w:szCs w:val="22"/>
                </w:rPr>
                <w:t>https://vmu.lt/wp-content/uploads/2021/08/Antikorupcine-politika.pdf</w:t>
              </w:r>
            </w:hyperlink>
            <w:r>
              <w:rPr>
                <w:rFonts w:ascii="Arial" w:hAnsi="Arial"/>
                <w:sz w:val="22"/>
                <w:szCs w:val="22"/>
              </w:rPr>
              <w:t>;</w:t>
            </w:r>
          </w:p>
          <w:p>
            <w:pPr>
              <w:pStyle w:val="Normal"/>
              <w:jc w:val="both"/>
              <w:rPr/>
            </w:pPr>
            <w:r>
              <w:rPr>
                <w:rFonts w:ascii="Arial" w:hAnsi="Arial"/>
                <w:sz w:val="22"/>
                <w:szCs w:val="22"/>
              </w:rPr>
              <w:t xml:space="preserve">3.1.5. Dovanų politika – dokumentas, kuriuo apibrėžiamos valstybės įmonės Valstybinių miškų urėdijos darbuotojų elgesio su dovanomis ir neteisėtu atlygiu principinės nuostatos. Su dokumentu galima susipažinti </w:t>
            </w:r>
            <w:hyperlink r:id="rId4">
              <w:r>
                <w:rPr>
                  <w:rStyle w:val="Hyperlink"/>
                  <w:rFonts w:ascii="Arial" w:hAnsi="Arial"/>
                  <w:b/>
                  <w:bCs/>
                  <w:sz w:val="22"/>
                  <w:szCs w:val="22"/>
                </w:rPr>
                <w:t>https://vmu.lt/wp-content/uploads/2022/09/Dovanu-politika1.pdf</w:t>
              </w:r>
            </w:hyperlink>
            <w:r>
              <w:rPr>
                <w:rFonts w:ascii="Arial" w:hAnsi="Arial"/>
                <w:sz w:val="22"/>
                <w:szCs w:val="22"/>
              </w:rPr>
              <w:t>;</w:t>
            </w:r>
          </w:p>
          <w:p>
            <w:pPr>
              <w:pStyle w:val="Normal"/>
              <w:jc w:val="both"/>
              <w:rPr/>
            </w:pPr>
            <w:r>
              <w:rPr>
                <w:rFonts w:ascii="Arial" w:hAnsi="Arial"/>
                <w:kern w:val="2"/>
                <w:sz w:val="22"/>
                <w:szCs w:val="22"/>
              </w:rPr>
              <w:t xml:space="preserve">3.1.6.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5">
              <w:r>
                <w:rPr>
                  <w:rStyle w:val="Hyperlink"/>
                  <w:rFonts w:ascii="Arial" w:hAnsi="Arial"/>
                  <w:b/>
                  <w:bCs/>
                  <w:kern w:val="2"/>
                  <w:sz w:val="22"/>
                  <w:szCs w:val="22"/>
                </w:rPr>
                <w:t>https://vmu.lt/wp-content/uploads/2021/08/Interesu-konfliktu-vengimo-politika.pdf</w:t>
              </w:r>
            </w:hyperlink>
            <w:r>
              <w:rPr>
                <w:rFonts w:ascii="Arial" w:hAnsi="Arial"/>
                <w:kern w:val="2"/>
                <w:sz w:val="22"/>
                <w:szCs w:val="22"/>
              </w:rPr>
              <w:t>;</w:t>
            </w:r>
          </w:p>
          <w:p>
            <w:pPr>
              <w:pStyle w:val="Normal"/>
              <w:jc w:val="both"/>
              <w:rPr>
                <w:rFonts w:ascii="Arial" w:hAnsi="Arial"/>
                <w:sz w:val="22"/>
                <w:szCs w:val="22"/>
              </w:rPr>
            </w:pPr>
            <w:r>
              <w:rPr>
                <w:rFonts w:ascii="Arial" w:hAnsi="Arial"/>
                <w:kern w:val="2"/>
                <w:sz w:val="22"/>
                <w:szCs w:val="22"/>
              </w:rPr>
              <w:t>3.1.7.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pPr>
              <w:pStyle w:val="Normal"/>
              <w:jc w:val="both"/>
              <w:rPr>
                <w:rFonts w:ascii="Arial" w:hAnsi="Arial"/>
                <w:sz w:val="22"/>
                <w:szCs w:val="22"/>
              </w:rPr>
            </w:pPr>
            <w:r>
              <w:rPr>
                <w:rFonts w:ascii="Arial" w:hAnsi="Arial"/>
                <w:kern w:val="2"/>
                <w:sz w:val="22"/>
                <w:szCs w:val="22"/>
              </w:rPr>
              <w:t>3.1.8.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rFonts w:ascii="Arial" w:hAnsi="Arial"/>
                <w:sz w:val="22"/>
                <w:szCs w:val="22"/>
              </w:rPr>
            </w:pPr>
            <w:r>
              <w:rPr>
                <w:rFonts w:ascii="Arial" w:hAnsi="Arial"/>
                <w:kern w:val="2"/>
                <w:sz w:val="22"/>
                <w:szCs w:val="22"/>
              </w:rPr>
              <w:t>3.1.9.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rFonts w:ascii="Arial" w:hAnsi="Arial"/>
                <w:sz w:val="22"/>
                <w:szCs w:val="22"/>
              </w:rPr>
            </w:pPr>
            <w:r>
              <w:rPr>
                <w:rFonts w:ascii="Arial" w:hAnsi="Arial"/>
                <w:kern w:val="2"/>
                <w:sz w:val="22"/>
                <w:szCs w:val="22"/>
              </w:rPr>
              <w:t>3.1.10.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rFonts w:ascii="Arial" w:hAnsi="Arial"/>
                <w:sz w:val="22"/>
                <w:szCs w:val="22"/>
              </w:rPr>
            </w:pPr>
            <w:r>
              <w:rPr>
                <w:rFonts w:ascii="Arial" w:hAnsi="Arial"/>
                <w:kern w:val="2"/>
                <w:sz w:val="22"/>
                <w:szCs w:val="22"/>
              </w:rPr>
              <w:t>3.1.11.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aukščiau nurodytų aplinkybių atsiradimą“.</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14.2.</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kern w:val="2"/>
                <w:sz w:val="22"/>
                <w:szCs w:val="22"/>
              </w:rPr>
              <w:t>Šalys susitaria papildyti Sutarties Bendrąsias sąlygas nurodytu punktu:</w:t>
            </w:r>
          </w:p>
          <w:p>
            <w:pPr>
              <w:pStyle w:val="Normal"/>
              <w:jc w:val="both"/>
              <w:rPr>
                <w:rFonts w:ascii="Arial" w:hAnsi="Arial"/>
                <w:sz w:val="22"/>
                <w:szCs w:val="22"/>
              </w:rPr>
            </w:pPr>
            <w:r>
              <w:rPr>
                <w:rFonts w:ascii="Arial" w:hAnsi="Arial"/>
                <w:sz w:val="22"/>
                <w:szCs w:val="22"/>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rFonts w:ascii="Arial" w:hAnsi="Arial"/>
                <w:i/>
                <w:iCs/>
                <w:sz w:val="22"/>
                <w:szCs w:val="22"/>
              </w:rPr>
              <w:t>.</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14.3.</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sz w:val="22"/>
                <w:szCs w:val="22"/>
              </w:rPr>
            </w:pPr>
            <w:r>
              <w:rPr>
                <w:rFonts w:ascii="Arial" w:hAnsi="Arial"/>
                <w:kern w:val="2"/>
                <w:sz w:val="22"/>
                <w:szCs w:val="22"/>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15. SUTARTIES PRIEDAI</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15.1. Priedas Nr. 1</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Techninės specifikacija su priedais</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15.2. Priedas Nr. 2</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Tiekėjo pasiūlymas</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15.3. Priedas Nr. 3</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Bendrosios sąlygos</w:t>
            </w:r>
          </w:p>
        </w:tc>
      </w:tr>
      <w:tr>
        <w:trPr>
          <w:trHeight w:val="300" w:hRule="atLeast"/>
        </w:trPr>
        <w:tc>
          <w:tcPr>
            <w:tcW w:w="26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15.4. Priedas Nr. 4</w:t>
            </w:r>
          </w:p>
        </w:tc>
        <w:tc>
          <w:tcPr>
            <w:tcW w:w="687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rPr>
            </w:pPr>
            <w:r>
              <w:rPr>
                <w:rFonts w:ascii="Arial" w:hAnsi="Arial"/>
                <w:b/>
                <w:bCs/>
                <w:kern w:val="2"/>
                <w:sz w:val="22"/>
                <w:szCs w:val="22"/>
              </w:rPr>
              <w:t>Įsipareigojimas neatskleisti konfidencialios informacijos</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16. ŠALIŲ ATSTOVŲ PARAŠAI</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PIRKĖJAS</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b/>
                <w:bCs/>
                <w:kern w:val="2"/>
                <w:sz w:val="22"/>
                <w:szCs w:val="22"/>
              </w:rPr>
              <w:t>TIEKĖJAS</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color w:val="4472C4"/>
                <w:kern w:val="2"/>
                <w:sz w:val="22"/>
                <w:szCs w:val="22"/>
              </w:rPr>
              <w:t>(nurodomos atstovo pareigos, vardas, pavardė)</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sz w:val="22"/>
                <w:szCs w:val="22"/>
              </w:rPr>
            </w:pPr>
            <w:r>
              <w:rPr>
                <w:rFonts w:ascii="Arial" w:hAnsi="Arial"/>
                <w:color w:val="4472C4"/>
                <w:kern w:val="2"/>
                <w:sz w:val="22"/>
                <w:szCs w:val="22"/>
              </w:rPr>
              <w:t>(nurodomos atstovo pareigos, vardas, pavardė)</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b/>
                <w:bCs/>
                <w:color w:val="4472C4"/>
                <w:kern w:val="2"/>
                <w:sz w:val="22"/>
                <w:szCs w:val="22"/>
              </w:rPr>
            </w:pPr>
            <w:r>
              <w:rPr>
                <w:rFonts w:ascii="Arial" w:hAnsi="Arial"/>
                <w:b/>
                <w:bCs/>
                <w:color w:val="4472C4"/>
                <w:kern w:val="2"/>
                <w:sz w:val="22"/>
                <w:szCs w:val="22"/>
              </w:rPr>
            </w:r>
          </w:p>
          <w:p>
            <w:pPr>
              <w:pStyle w:val="Normal"/>
              <w:jc w:val="center"/>
              <w:rPr>
                <w:rFonts w:ascii="Arial" w:hAnsi="Arial"/>
                <w:sz w:val="22"/>
                <w:szCs w:val="22"/>
              </w:rPr>
            </w:pPr>
            <w:r>
              <w:rPr>
                <w:rFonts w:ascii="Arial" w:hAnsi="Arial"/>
                <w:b/>
                <w:bCs/>
                <w:color w:val="4472C4"/>
                <w:kern w:val="2"/>
                <w:sz w:val="22"/>
                <w:szCs w:val="22"/>
              </w:rPr>
              <w:t>(parašas)</w:t>
            </w:r>
          </w:p>
          <w:p>
            <w:pPr>
              <w:pStyle w:val="Normal"/>
              <w:jc w:val="center"/>
              <w:rPr>
                <w:rFonts w:ascii="Arial" w:hAnsi="Arial"/>
                <w:b/>
                <w:bCs/>
                <w:color w:val="4472C4"/>
                <w:kern w:val="2"/>
                <w:sz w:val="22"/>
                <w:szCs w:val="22"/>
              </w:rPr>
            </w:pPr>
            <w:r>
              <w:rPr>
                <w:rFonts w:ascii="Arial" w:hAnsi="Arial"/>
                <w:b/>
                <w:bCs/>
                <w:color w:val="4472C4"/>
                <w:kern w:val="2"/>
                <w:sz w:val="22"/>
                <w:szCs w:val="22"/>
              </w:rPr>
            </w:r>
          </w:p>
          <w:p>
            <w:pPr>
              <w:pStyle w:val="Normal"/>
              <w:jc w:val="center"/>
              <w:rPr>
                <w:rFonts w:ascii="Arial" w:hAnsi="Arial"/>
                <w:b/>
                <w:bCs/>
                <w:color w:val="4472C4"/>
                <w:kern w:val="2"/>
                <w:sz w:val="22"/>
                <w:szCs w:val="22"/>
              </w:rPr>
            </w:pPr>
            <w:r>
              <w:rPr>
                <w:rFonts w:ascii="Arial" w:hAnsi="Arial"/>
                <w:b/>
                <w:bCs/>
                <w:color w:val="4472C4"/>
                <w:kern w:val="2"/>
                <w:sz w:val="22"/>
                <w:szCs w:val="22"/>
              </w:rPr>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b/>
                <w:bCs/>
                <w:color w:val="4472C4"/>
                <w:kern w:val="2"/>
                <w:sz w:val="22"/>
                <w:szCs w:val="22"/>
              </w:rPr>
            </w:pPr>
            <w:r>
              <w:rPr>
                <w:rFonts w:ascii="Arial" w:hAnsi="Arial"/>
                <w:b/>
                <w:bCs/>
                <w:color w:val="4472C4"/>
                <w:kern w:val="2"/>
                <w:sz w:val="22"/>
                <w:szCs w:val="22"/>
              </w:rPr>
            </w:r>
          </w:p>
          <w:p>
            <w:pPr>
              <w:pStyle w:val="Normal"/>
              <w:jc w:val="center"/>
              <w:rPr>
                <w:rFonts w:ascii="Arial" w:hAnsi="Arial"/>
                <w:sz w:val="22"/>
                <w:szCs w:val="22"/>
              </w:rPr>
            </w:pPr>
            <w:r>
              <w:rPr>
                <w:rFonts w:ascii="Arial" w:hAnsi="Arial"/>
                <w:b/>
                <w:bCs/>
                <w:color w:val="4472C4"/>
                <w:kern w:val="2"/>
                <w:sz w:val="22"/>
                <w:szCs w:val="22"/>
              </w:rPr>
              <w:t>(parašas)</w:t>
            </w:r>
          </w:p>
        </w:tc>
      </w:tr>
    </w:tbl>
    <w:p>
      <w:pPr>
        <w:pStyle w:val="Normal"/>
        <w:widowControl w:val="false"/>
        <w:tabs>
          <w:tab w:val="clear" w:pos="1296"/>
          <w:tab w:val="left" w:pos="567" w:leader="none"/>
          <w:tab w:val="left" w:pos="851" w:leader="none"/>
        </w:tabs>
        <w:jc w:val="center"/>
        <w:rPr>
          <w:rFonts w:ascii="Arial" w:hAnsi="Arial"/>
          <w:b/>
          <w:bCs/>
          <w:caps/>
          <w:kern w:val="2"/>
          <w:sz w:val="22"/>
          <w:szCs w:val="22"/>
        </w:rPr>
      </w:pPr>
      <w:r>
        <w:rPr>
          <w:rFonts w:ascii="Arial" w:hAnsi="Arial"/>
          <w:b/>
          <w:bCs/>
          <w:caps/>
          <w:kern w:val="2"/>
          <w:sz w:val="22"/>
          <w:szCs w:val="22"/>
        </w:rPr>
      </w:r>
    </w:p>
    <w:p>
      <w:pPr>
        <w:pStyle w:val="Normal"/>
        <w:jc w:val="center"/>
        <w:rPr>
          <w:rFonts w:ascii="Arial" w:hAnsi="Arial"/>
          <w:sz w:val="22"/>
          <w:szCs w:val="22"/>
        </w:rPr>
      </w:pPr>
      <w:r>
        <w:rPr>
          <w:rFonts w:ascii="Arial" w:hAnsi="Arial"/>
          <w:color w:val="000000"/>
          <w:sz w:val="22"/>
          <w:szCs w:val="22"/>
        </w:rPr>
        <w:t>_______________</w:t>
      </w:r>
    </w:p>
    <w:p>
      <w:pPr>
        <w:pStyle w:val="Normal"/>
        <w:spacing w:lineRule="auto" w:line="259"/>
        <w:rPr>
          <w:rFonts w:ascii="Arial" w:hAnsi="Arial"/>
          <w:sz w:val="22"/>
          <w:szCs w:val="22"/>
        </w:rPr>
      </w:pPr>
      <w:r>
        <w:rPr>
          <w:rFonts w:ascii="Arial" w:hAnsi="Arial"/>
          <w:sz w:val="22"/>
          <w:szCs w:val="22"/>
        </w:rPr>
      </w:r>
    </w:p>
    <w:p>
      <w:pPr>
        <w:pStyle w:val="Normal"/>
        <w:rPr>
          <w:rFonts w:ascii="Arial" w:hAnsi="Arial"/>
          <w:sz w:val="22"/>
          <w:szCs w:val="22"/>
        </w:rPr>
      </w:pPr>
      <w:r>
        <w:rPr>
          <w:rFonts w:ascii="Arial" w:hAnsi="Arial"/>
          <w:sz w:val="22"/>
          <w:szCs w:val="22"/>
        </w:rPr>
      </w:r>
    </w:p>
    <w:sectPr>
      <w:headerReference w:type="even" r:id="rId6"/>
      <w:headerReference w:type="default" r:id="rId7"/>
      <w:headerReference w:type="first" r:id="rId8"/>
      <w:footerReference w:type="even" r:id="rId9"/>
      <w:footerReference w:type="default" r:id="rId10"/>
      <w:footerReference w:type="first" r:id="rId11"/>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right"/>
      <w:rPr/>
    </w:pPr>
    <w:r>
      <w:rPr/>
      <w:t xml:space="preserve">Atviro konkurso Specialiųjų sąlygų </w:t>
    </w:r>
  </w:p>
  <w:p>
    <w:pPr>
      <w:pStyle w:val="Normal"/>
      <w:tabs>
        <w:tab w:val="clear" w:pos="1296"/>
        <w:tab w:val="center" w:pos="4680" w:leader="none"/>
        <w:tab w:val="right" w:pos="9360" w:leader="none"/>
      </w:tabs>
      <w:jc w:val="right"/>
      <w:rPr/>
    </w:pPr>
    <w:r>
      <w:rPr/>
      <w:t xml:space="preserve">priedas Nr. </w:t>
    </w:r>
    <w:r>
      <w:rPr/>
      <w:t>5 „Sutarties projektas su priedais“</w:t>
    </w:r>
  </w:p>
</w:hdr>
</file>

<file path=word/settings.xml><?xml version="1.0" encoding="utf-8"?>
<w:settings xmlns:w="http://schemas.openxmlformats.org/wordprocessingml/2006/main">
  <w:zoom w:percent="100"/>
  <w:trackRevisions/>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CommentReference">
    <w:name w:val="annotation reference"/>
    <w:basedOn w:val="DefaultParagraphFont"/>
    <w:semiHidden/>
    <w:unhideWhenUsed/>
    <w:qFormat/>
    <w:rsid w:val="000933ed"/>
    <w:rPr>
      <w:sz w:val="16"/>
      <w:szCs w:val="16"/>
    </w:rPr>
  </w:style>
  <w:style w:type="character" w:styleId="KomentarotekstasDiagrama" w:customStyle="1">
    <w:name w:val="Komentaro tekstas Diagrama"/>
    <w:basedOn w:val="DefaultParagraphFont"/>
    <w:qFormat/>
    <w:rsid w:val="000933ed"/>
    <w:rPr>
      <w:sz w:val="20"/>
    </w:rPr>
  </w:style>
  <w:style w:type="character" w:styleId="KomentarotemaDiagrama" w:customStyle="1">
    <w:name w:val="Komentaro tema Diagrama"/>
    <w:basedOn w:val="KomentarotekstasDiagrama"/>
    <w:link w:val="annotationsubject"/>
    <w:semiHidden/>
    <w:qFormat/>
    <w:rsid w:val="000933ed"/>
    <w:rPr>
      <w:b/>
      <w:bCs/>
      <w:sz w:val="20"/>
    </w:rPr>
  </w:style>
  <w:style w:type="character" w:styleId="InternetLink5" w:customStyle="1">
    <w:name w:val="Internet Link5"/>
    <w:qFormat/>
    <w:rPr>
      <w:color w:val="000080"/>
      <w:u w:val="single"/>
    </w:rPr>
  </w:style>
  <w:style w:type="character" w:styleId="LineNumbering" w:customStyle="1">
    <w:name w:val="Line Numbering"/>
    <w:qFormat/>
    <w:rPr/>
  </w:style>
  <w:style w:type="character" w:styleId="InternetLink6" w:customStyle="1">
    <w:name w:val="Internet Link6"/>
    <w:qFormat/>
    <w:rPr>
      <w:color w:val="000080"/>
      <w:u w:val="single"/>
    </w:rPr>
  </w:style>
  <w:style w:type="character" w:styleId="LineNumbering1" w:customStyle="1">
    <w:name w:val="Line Numbering1"/>
    <w:qFormat/>
    <w:rPr/>
  </w:style>
  <w:style w:type="character" w:styleId="InternetLink7" w:customStyle="1">
    <w:name w:val="Internet Link7"/>
    <w:qFormat/>
    <w:rPr>
      <w:color w:val="000080"/>
      <w:u w:val="single"/>
    </w:rPr>
  </w:style>
  <w:style w:type="character" w:styleId="LineNumbering2" w:customStyle="1">
    <w:name w:val="Line Numbering2"/>
    <w:qFormat/>
    <w:rPr/>
  </w:style>
  <w:style w:type="character" w:styleId="InternetLink8" w:customStyle="1">
    <w:name w:val="Internet Link8"/>
    <w:qFormat/>
    <w:rPr>
      <w:color w:val="000080"/>
      <w:u w:val="single"/>
    </w:rPr>
  </w:style>
  <w:style w:type="character" w:styleId="InternetLink9" w:customStyle="1">
    <w:name w:val="Internet Link9"/>
    <w:qFormat/>
    <w:rPr>
      <w:color w:val="000080"/>
      <w:u w:val="single"/>
    </w:rPr>
  </w:style>
  <w:style w:type="character" w:styleId="LineNumbering3" w:customStyle="1">
    <w:name w:val="Line Numbering3"/>
    <w:qFormat/>
    <w:rPr/>
  </w:style>
  <w:style w:type="character" w:styleId="InternetLink10" w:customStyle="1">
    <w:name w:val="Internet Link10"/>
    <w:qFormat/>
    <w:rPr>
      <w:color w:val="000080"/>
      <w:u w:val="single"/>
    </w:rPr>
  </w:style>
  <w:style w:type="character" w:styleId="LineNumbering4" w:customStyle="1">
    <w:name w:val="Line Numbering4"/>
    <w:qFormat/>
    <w:rPr/>
  </w:style>
  <w:style w:type="character" w:styleId="InternetLink11">
    <w:name w:val="Internet Link11"/>
    <w:qFormat/>
    <w:rPr>
      <w:color w:val="000080"/>
      <w:u w:val="single"/>
    </w:rPr>
  </w:style>
  <w:style w:type="character" w:styleId="LineNumbering5">
    <w:name w:val="Line Numbering5"/>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Revision">
    <w:name w:val="Revision"/>
    <w:semiHidden/>
    <w:qFormat/>
    <w:rsid w:val="000933ed"/>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0933ed"/>
    <w:pPr/>
    <w:rPr>
      <w:sz w:val="20"/>
    </w:rPr>
  </w:style>
  <w:style w:type="paragraph" w:styleId="annotationsubject">
    <w:name w:val="annotation subject"/>
    <w:basedOn w:val="CommentText"/>
    <w:next w:val="CommentText"/>
    <w:link w:val="KomentarotemaDiagrama"/>
    <w:semiHidden/>
    <w:unhideWhenUsed/>
    <w:qFormat/>
    <w:rsid w:val="000933ed"/>
    <w:pPr/>
    <w:rPr>
      <w:b/>
      <w:bCs/>
    </w:rPr>
  </w:style>
  <w:style w:type="paragraph" w:styleId="Comment" w:customStyle="1">
    <w:name w:val="Comment"/>
    <w:basedOn w:val="Normal"/>
    <w:qFormat/>
    <w:pPr>
      <w:spacing w:before="56" w:after="0"/>
      <w:ind w:left="56" w:right="56"/>
    </w:pPr>
    <w:rPr>
      <w:sz w:val="20"/>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osp.stat.gov.lt/" TargetMode="External"/><Relationship Id="rId3" Type="http://schemas.openxmlformats.org/officeDocument/2006/relationships/hyperlink" Target="https://vmu.lt/wp-content/uploads/2021/08/Antikorupcine-politika.pdf" TargetMode="External"/><Relationship Id="rId4" Type="http://schemas.openxmlformats.org/officeDocument/2006/relationships/hyperlink" Target="https://vmu.lt/wp-content/uploads/2022/09/Dovanu-politika1.pdf" TargetMode="External"/><Relationship Id="rId5" Type="http://schemas.openxmlformats.org/officeDocument/2006/relationships/hyperlink" Target="https://vmu.lt/wp-content/uploads/2021/08/Interesu-konfliktu-vengimo-politika.pdf"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LibreOffice/24.8.0.3$Windows_X86_64 LibreOffice_project/0bdf1299c94fe897b119f97f3c613e9dca6be583</Application>
  <AppVersion>15.0000</AppVersion>
  <Pages>10</Pages>
  <Words>2973</Words>
  <Characters>21238</Characters>
  <CharactersWithSpaces>24007</CharactersWithSpaces>
  <Paragraphs>227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2025-09-01T10:14:00Z</dcterms:created>
  <dc:creator>Renata Macijauskaitė | VMU</dc:creator>
  <dc:description/>
  <dc:language>lt-LT</dc:language>
  <cp:lastModifiedBy/>
  <dcterms:modified xsi:type="dcterms:W3CDTF">2025-10-28T09:47:14Z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